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BD8" w:rsidRDefault="00842BC4" w:rsidP="008E497F">
      <w:pPr>
        <w:pStyle w:val="Title"/>
      </w:pPr>
      <w:r>
        <w:t>Heart of Texas</w:t>
      </w:r>
      <w:r w:rsidR="008E497F">
        <w:t xml:space="preserve"> CoC FY </w:t>
      </w:r>
      <w:r w:rsidR="00E175E2">
        <w:t xml:space="preserve">2017 </w:t>
      </w:r>
      <w:r w:rsidR="008E497F">
        <w:t xml:space="preserve">NOFA Competition Project </w:t>
      </w:r>
      <w:r w:rsidR="005577E6">
        <w:t xml:space="preserve"> Scoring, </w:t>
      </w:r>
      <w:r w:rsidR="008E497F">
        <w:t xml:space="preserve">Ranking </w:t>
      </w:r>
      <w:r w:rsidR="00E175E2">
        <w:t xml:space="preserve">and Reallocation </w:t>
      </w:r>
      <w:r w:rsidR="008E497F">
        <w:t>Policy</w:t>
      </w:r>
    </w:p>
    <w:p w:rsidR="008E497F" w:rsidRDefault="008E497F" w:rsidP="008E497F">
      <w:pPr>
        <w:pStyle w:val="Heading1"/>
      </w:pPr>
      <w:r>
        <w:t>Purpose</w:t>
      </w:r>
    </w:p>
    <w:p w:rsidR="00CB0FC3" w:rsidRDefault="00AC1598" w:rsidP="008E497F">
      <w:r>
        <w:t xml:space="preserve">On an annual basis, the </w:t>
      </w:r>
      <w:r w:rsidR="00650E65">
        <w:t>Heart of Texas</w:t>
      </w:r>
      <w:r>
        <w:t xml:space="preserve"> C</w:t>
      </w:r>
      <w:r w:rsidR="007823BC">
        <w:t>ontinuum of Care is required to</w:t>
      </w:r>
      <w:r>
        <w:t xml:space="preserve"> rank all new and renewal projects submitted to HUD for funding in an order that reflects the CoC’s needs and priorities. Additionally, HUD </w:t>
      </w:r>
      <w:r w:rsidR="008E497F">
        <w:t>requires CoCs to</w:t>
      </w:r>
      <w:r>
        <w:t xml:space="preserve"> review the performance of all funded projects and seek to reallocate funding away from low performing projects or those providing services that are of a lower priority in preventing and ending homelessness.  </w:t>
      </w:r>
      <w:r w:rsidR="008E497F">
        <w:t xml:space="preserve"> </w:t>
      </w:r>
    </w:p>
    <w:p w:rsidR="008E497F" w:rsidRDefault="008E497F" w:rsidP="008E497F">
      <w:r>
        <w:t xml:space="preserve">The </w:t>
      </w:r>
      <w:r w:rsidR="00650E65">
        <w:t>Heart of Texas</w:t>
      </w:r>
      <w:r w:rsidR="00A5195D">
        <w:t xml:space="preserve"> CoC</w:t>
      </w:r>
      <w:r>
        <w:t xml:space="preserve"> is seeking to accomplish the following in the ranking</w:t>
      </w:r>
      <w:r w:rsidR="00AC1598">
        <w:t xml:space="preserve"> and reallocation</w:t>
      </w:r>
      <w:r>
        <w:t xml:space="preserve"> of projects:</w:t>
      </w:r>
    </w:p>
    <w:p w:rsidR="008E497F" w:rsidRDefault="008E497F" w:rsidP="008E497F">
      <w:pPr>
        <w:pStyle w:val="ListParagraph"/>
        <w:numPr>
          <w:ilvl w:val="0"/>
          <w:numId w:val="1"/>
        </w:numPr>
      </w:pPr>
      <w:r>
        <w:t xml:space="preserve">Incentivize all providers to focus on outcomes and to seek to </w:t>
      </w:r>
      <w:r w:rsidR="00CB0FC3">
        <w:t xml:space="preserve">achieve </w:t>
      </w:r>
      <w:r>
        <w:t xml:space="preserve">the performance </w:t>
      </w:r>
      <w:r w:rsidR="008507A0">
        <w:t>targets</w:t>
      </w:r>
      <w:r>
        <w:t xml:space="preserve"> specified by the CoC.</w:t>
      </w:r>
    </w:p>
    <w:p w:rsidR="008507A0" w:rsidRDefault="008E497F" w:rsidP="008507A0">
      <w:pPr>
        <w:pStyle w:val="ListParagraph"/>
        <w:numPr>
          <w:ilvl w:val="0"/>
          <w:numId w:val="1"/>
        </w:numPr>
      </w:pPr>
      <w:r>
        <w:t xml:space="preserve">Encourage providers to adopt evidence based practices including Housing First </w:t>
      </w:r>
      <w:r w:rsidR="00CB0FC3">
        <w:t>to</w:t>
      </w:r>
      <w:r>
        <w:t xml:space="preserve"> more effectively employ CoC resources.</w:t>
      </w:r>
    </w:p>
    <w:p w:rsidR="008E497F" w:rsidRDefault="00AC1598" w:rsidP="008E497F">
      <w:pPr>
        <w:pStyle w:val="ListParagraph"/>
        <w:numPr>
          <w:ilvl w:val="0"/>
          <w:numId w:val="1"/>
        </w:numPr>
      </w:pPr>
      <w:r>
        <w:t>Replace projects that are not high performing or following evidence based practices with new projects that follow CoC and HUD priorities.</w:t>
      </w:r>
    </w:p>
    <w:p w:rsidR="00AC1D19" w:rsidRDefault="00AC1D19" w:rsidP="00AC1D19">
      <w:pPr>
        <w:pStyle w:val="Heading1"/>
      </w:pPr>
      <w:r>
        <w:t>Policy</w:t>
      </w:r>
    </w:p>
    <w:p w:rsidR="0069387E" w:rsidRDefault="00AC1D19" w:rsidP="00AC1D19">
      <w:r>
        <w:t xml:space="preserve">All </w:t>
      </w:r>
      <w:r w:rsidR="00C01982">
        <w:t xml:space="preserve">new and renewal </w:t>
      </w:r>
      <w:r>
        <w:t xml:space="preserve">projects will be ranked by the CoC. The primary factor controlling the ranking of projects will be the scores assigned to renewal and new projects. </w:t>
      </w:r>
      <w:r w:rsidR="0069387E">
        <w:t xml:space="preserve"> </w:t>
      </w:r>
      <w:r w:rsidR="002D7D44">
        <w:t xml:space="preserve">Scoring is based on project performance, grant management, community outcomes, and adherence to policy priorities. </w:t>
      </w:r>
      <w:r w:rsidR="0069387E">
        <w:t xml:space="preserve">Except as specified below, projects will be ranked in the NOFA competition by the scores assigned to renewal or new projects. </w:t>
      </w:r>
    </w:p>
    <w:p w:rsidR="00AC1D19" w:rsidRDefault="00AC1D19" w:rsidP="00AC1D19">
      <w:r>
        <w:t>There are two categories of projects that will not be ranked according to performance scores:</w:t>
      </w:r>
    </w:p>
    <w:p w:rsidR="00AC1D19" w:rsidRDefault="00AC1D19" w:rsidP="00AC1D19">
      <w:pPr>
        <w:pStyle w:val="ListParagraph"/>
        <w:numPr>
          <w:ilvl w:val="0"/>
          <w:numId w:val="2"/>
        </w:numPr>
      </w:pPr>
      <w:r>
        <w:t>Projects that are essential to the operation of the CoC. This includes funding for HMIS and Coordinated Entry.</w:t>
      </w:r>
      <w:r w:rsidR="0069387E">
        <w:t xml:space="preserve">  These are unique projects focused on CoC operations </w:t>
      </w:r>
      <w:r w:rsidR="00814025">
        <w:t>and</w:t>
      </w:r>
      <w:r w:rsidR="0069387E">
        <w:t xml:space="preserve"> that cannot be readily evaluated </w:t>
      </w:r>
      <w:r w:rsidR="00814025">
        <w:t xml:space="preserve">or compared to other CoC funded projects. Failure to renew this funding would have negative consequences for the CoC </w:t>
      </w:r>
      <w:r w:rsidR="00CB0FC3">
        <w:t>and</w:t>
      </w:r>
      <w:r w:rsidR="00814025">
        <w:t xml:space="preserve"> jeopardize future funding opportunities.</w:t>
      </w:r>
    </w:p>
    <w:p w:rsidR="00D0380A" w:rsidRDefault="00D0380A" w:rsidP="00D0380A">
      <w:pPr>
        <w:pStyle w:val="ListParagraph"/>
      </w:pPr>
    </w:p>
    <w:p w:rsidR="00AC1D19" w:rsidRDefault="00AC1D19" w:rsidP="00AC1D19">
      <w:pPr>
        <w:pStyle w:val="ListParagraph"/>
        <w:numPr>
          <w:ilvl w:val="0"/>
          <w:numId w:val="2"/>
        </w:numPr>
      </w:pPr>
      <w:r>
        <w:t xml:space="preserve">First time renewal of newly funded grants. HUD requires newly funded one-year project grants to be renewed in the competition. In most instances, these projects </w:t>
      </w:r>
      <w:r w:rsidR="00CB0FC3">
        <w:t xml:space="preserve">will </w:t>
      </w:r>
      <w:r>
        <w:t xml:space="preserve">have not yet started operations. In other instances, the projects have just started but are far from being able to report on </w:t>
      </w:r>
      <w:r w:rsidR="00C01982">
        <w:t>a full year of operations</w:t>
      </w:r>
      <w:r>
        <w:t xml:space="preserve"> in the APR. </w:t>
      </w:r>
    </w:p>
    <w:p w:rsidR="00AC1D19" w:rsidRDefault="00AC1D19" w:rsidP="00AC1D19">
      <w:r>
        <w:t xml:space="preserve">The two project types identified above will not be assigned scores. These projects will be ranked by the CoC to assure – to the maximum extent possible – that they will be funded in the competition. Subject to review based on the actual NOFA, these projects will be ranked at the bottom of Tier 1, with all of their funding above the Tier 1/Tier 2 demarcation. </w:t>
      </w:r>
    </w:p>
    <w:p w:rsidR="005C0ED9" w:rsidRDefault="00104F83" w:rsidP="00814025">
      <w:r>
        <w:t xml:space="preserve">All other </w:t>
      </w:r>
      <w:r w:rsidR="005C0ED9">
        <w:t>CoC projects will be ranked according to scores:</w:t>
      </w:r>
    </w:p>
    <w:p w:rsidR="005C0ED9" w:rsidRDefault="005C0ED9" w:rsidP="00C55E6D">
      <w:pPr>
        <w:pStyle w:val="ListParagraph"/>
        <w:numPr>
          <w:ilvl w:val="0"/>
          <w:numId w:val="4"/>
        </w:numPr>
      </w:pPr>
      <w:r>
        <w:t xml:space="preserve">Renewal projects will be ranked according to adjusted renewal project score. </w:t>
      </w:r>
      <w:r w:rsidR="00104F83">
        <w:t>Renewal scores will be adjusted as follows: i</w:t>
      </w:r>
      <w:r>
        <w:t xml:space="preserve">f the highest scoring renewal project scores less than </w:t>
      </w:r>
      <w:r w:rsidR="00413261">
        <w:t>200</w:t>
      </w:r>
      <w:r>
        <w:t xml:space="preserve"> points, then all renewal scores will be adjusted upward by the difference between the highest scoring renewal project and </w:t>
      </w:r>
      <w:r w:rsidR="00413261">
        <w:t>2</w:t>
      </w:r>
      <w:r>
        <w:t>00.</w:t>
      </w:r>
      <w:r w:rsidR="009060E7">
        <w:t xml:space="preserve"> Renewal projects that qualify for renewal based on the renewal performance evaluation will be ranked above new projects.</w:t>
      </w:r>
    </w:p>
    <w:p w:rsidR="005C0ED9" w:rsidRDefault="005C0ED9" w:rsidP="00C55E6D">
      <w:pPr>
        <w:pStyle w:val="ListParagraph"/>
        <w:numPr>
          <w:ilvl w:val="0"/>
          <w:numId w:val="4"/>
        </w:numPr>
      </w:pPr>
      <w:r>
        <w:t>New projects will be ranked according to scores.</w:t>
      </w:r>
      <w:r w:rsidR="00104F83">
        <w:t xml:space="preserve">  </w:t>
      </w:r>
    </w:p>
    <w:p w:rsidR="00ED61D7" w:rsidRDefault="006273DD" w:rsidP="00AD610E">
      <w:r>
        <w:t xml:space="preserve">Current CoC grantees may elect to reallocate some or all of the funding associated with their project. </w:t>
      </w:r>
      <w:r w:rsidR="009A404F">
        <w:t>These reallocated projects will be scored as new project</w:t>
      </w:r>
      <w:r w:rsidR="00104F83">
        <w:t xml:space="preserve">s and ranked according to score the same as all new and renewal projects. </w:t>
      </w:r>
      <w:r w:rsidR="00271F45">
        <w:t xml:space="preserve"> CoC grantees in good standing (no outstanding HUD or </w:t>
      </w:r>
      <w:r w:rsidR="0096389D">
        <w:t xml:space="preserve">CoC </w:t>
      </w:r>
      <w:r w:rsidR="00271F45">
        <w:t xml:space="preserve">monitoring findings and no open audit findings) may voluntarily reallocate their funding and will not have to compete with other organizations for that funding. </w:t>
      </w:r>
    </w:p>
    <w:p w:rsidR="00B86649" w:rsidRDefault="00DF7027" w:rsidP="00AD610E">
      <w:r>
        <w:t xml:space="preserve">The minimum score for automatic renewal of CoC funded projects is 65% of the highest scoring project. </w:t>
      </w:r>
    </w:p>
    <w:p w:rsidR="00D55026" w:rsidRDefault="00753BB5" w:rsidP="00AD610E">
      <w:r>
        <w:t>If the highest scori</w:t>
      </w:r>
      <w:r w:rsidR="00413261">
        <w:t>ng project receives a score of 2</w:t>
      </w:r>
      <w:r>
        <w:t xml:space="preserve">00, then all projects scoring below </w:t>
      </w:r>
      <w:r w:rsidR="00413261">
        <w:t>130</w:t>
      </w:r>
      <w:r>
        <w:t xml:space="preserve"> will be reallocated unless a Project Improvement Plan has been submitted and approved by the CoC board. Should the highest scoring project receive a score of </w:t>
      </w:r>
      <w:r w:rsidR="00413261">
        <w:t>1</w:t>
      </w:r>
      <w:r>
        <w:t xml:space="preserve">90, then the minimum acceptable score would be </w:t>
      </w:r>
      <w:r w:rsidR="00413261">
        <w:t>123</w:t>
      </w:r>
      <w:r>
        <w:t>.5.</w:t>
      </w:r>
    </w:p>
    <w:p w:rsidR="00ED61D7" w:rsidRPr="00ED61D7" w:rsidRDefault="00DF7027" w:rsidP="00ED61D7">
      <w:r>
        <w:t xml:space="preserve">The </w:t>
      </w:r>
      <w:r w:rsidR="00ED61D7" w:rsidRPr="00ED61D7">
        <w:t xml:space="preserve">Project Improvement Plan </w:t>
      </w:r>
      <w:r>
        <w:t>must</w:t>
      </w:r>
      <w:r w:rsidR="00ED61D7" w:rsidRPr="00ED61D7">
        <w:t xml:space="preserve"> specify how the project will improve performance and meet standards in the upcoming year.</w:t>
      </w:r>
      <w:r w:rsidR="00ED61D7">
        <w:t xml:space="preserve">  If the CoC board accepts the Project Improvement Plan, the grantee will be allowed to apply for renewal funding.</w:t>
      </w:r>
    </w:p>
    <w:p w:rsidR="00356B85" w:rsidRDefault="00D55026" w:rsidP="00AD610E">
      <w:r>
        <w:t xml:space="preserve">Any legal applicant for CoC funds can apply for new projects from the bonus pool or the uncommitted reallocation pool. </w:t>
      </w:r>
      <w:r w:rsidR="00A52287">
        <w:t xml:space="preserve">The CoC will only rank new projects for which there is sufficient funding in the new or reallocation pool to fully fund the project. </w:t>
      </w:r>
    </w:p>
    <w:p w:rsidR="001B3C68" w:rsidRDefault="001B3C68" w:rsidP="00C55E6D">
      <w:pPr>
        <w:pStyle w:val="Heading2"/>
      </w:pPr>
      <w:r>
        <w:t>Policy on Expenditure of Grant Funds</w:t>
      </w:r>
    </w:p>
    <w:p w:rsidR="001B3C68" w:rsidRDefault="001B3C68">
      <w:r>
        <w:t xml:space="preserve">Funds unexpended at the completion of the grant term are recaptured by HUD. In some instances these funds are then allocated to other CoCs or in other cases are returned to the federal treasury.  The </w:t>
      </w:r>
      <w:r w:rsidR="00663819">
        <w:t>Heart of Texas</w:t>
      </w:r>
      <w:r w:rsidR="004750EC">
        <w:t xml:space="preserve"> CoC</w:t>
      </w:r>
      <w:r>
        <w:t xml:space="preserve"> seeks to minimize this recapture of funding and </w:t>
      </w:r>
      <w:r w:rsidR="00820AC2">
        <w:t xml:space="preserve">to the maximum extent possible ensure that homeless assistance funding allocated to </w:t>
      </w:r>
      <w:r w:rsidR="004750EC">
        <w:t xml:space="preserve">the City of </w:t>
      </w:r>
      <w:r w:rsidR="00663819">
        <w:t>Waco</w:t>
      </w:r>
      <w:r w:rsidR="004750EC">
        <w:t xml:space="preserve"> </w:t>
      </w:r>
      <w:r w:rsidR="00820AC2">
        <w:t xml:space="preserve">is used to support homeless people in the </w:t>
      </w:r>
      <w:r w:rsidR="004750EC">
        <w:t>city</w:t>
      </w:r>
      <w:r w:rsidR="00820AC2">
        <w:t>.</w:t>
      </w:r>
    </w:p>
    <w:p w:rsidR="00820AC2" w:rsidRDefault="00820AC2">
      <w:pPr>
        <w:rPr>
          <w:b/>
        </w:rPr>
      </w:pPr>
      <w:r>
        <w:rPr>
          <w:b/>
        </w:rPr>
        <w:t>Underexpenditure policy</w:t>
      </w:r>
    </w:p>
    <w:p w:rsidR="00820AC2" w:rsidRDefault="00820AC2">
      <w:r>
        <w:t xml:space="preserve">It is the policy of the </w:t>
      </w:r>
      <w:r w:rsidR="00663819">
        <w:t>Heart of Texas</w:t>
      </w:r>
      <w:r w:rsidR="004750EC">
        <w:t xml:space="preserve"> CoC</w:t>
      </w:r>
      <w:r>
        <w:t xml:space="preserve"> that CoC funds granted to an applicant agency will either be fully expended to assist eligible homeless people or the CoC will recapture the unspent funding and add it to the pool of resources available for reallocation.  </w:t>
      </w:r>
    </w:p>
    <w:p w:rsidR="005478BB" w:rsidRDefault="00663819">
      <w:r>
        <w:t>Heart of Texas</w:t>
      </w:r>
      <w:r w:rsidR="004750EC">
        <w:t xml:space="preserve"> </w:t>
      </w:r>
      <w:r w:rsidR="00820AC2">
        <w:t xml:space="preserve">CoC grantees that expended less than 90% of their funding in the most recent grant year will face recapture of </w:t>
      </w:r>
      <w:r w:rsidR="00117A20">
        <w:t xml:space="preserve">unexpended funding that exceeds 10% of the grant funds. If, for example, the CoC grant was for $100,000 and $85,000 was expended, the grantee would see $5,000 in funding recaptured. Recapture of unexpended funding that exceeds 10% of the total grant will be automatic. </w:t>
      </w:r>
      <w:r w:rsidR="005478BB">
        <w:t xml:space="preserve"> </w:t>
      </w:r>
      <w:r w:rsidR="005478BB" w:rsidRPr="00413261">
        <w:t>The Scoring/Ranking Committee may consider extenuating cir</w:t>
      </w:r>
      <w:r w:rsidR="00FE757D" w:rsidRPr="00413261">
        <w:t>cumstances regarding projected expended funds.   For example, an agency had staff vacancies at the beginning of the grant cycle and all vacancies have been filled later in the grant cycle altering the capability of the program to serve greater number of clientele which would increase projected expenditures.   The applicant must put any considerations based on circumstance in writing to the Scoring/Ranking Committee.</w:t>
      </w:r>
      <w:r w:rsidR="00FE757D">
        <w:t xml:space="preserve"> </w:t>
      </w:r>
    </w:p>
    <w:p w:rsidR="00820AC2" w:rsidRDefault="00117A20">
      <w:r>
        <w:t xml:space="preserve">Grantees may </w:t>
      </w:r>
      <w:r w:rsidR="00FE757D">
        <w:t xml:space="preserve">also </w:t>
      </w:r>
      <w:r>
        <w:t xml:space="preserve">prevent this automatic recapture by submitting an appeal to the Board of the CoC. The appeal will need to: explain the reason for the under-expenditure and provide a plan for fully expended the grant in the current cycle. The Board may approve the request at its discretion. </w:t>
      </w:r>
      <w:r w:rsidR="00511260">
        <w:t>However, if the funds are restored and under-expended in the subsequent grant cycle funding will be recaptured as indicated above. All CoC board decisions can be appealed but a second appeal would require extraordinary circumstances to be approved.</w:t>
      </w:r>
    </w:p>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tbl>
      <w:tblPr>
        <w:tblW w:w="9480" w:type="dxa"/>
        <w:tblInd w:w="93" w:type="dxa"/>
        <w:tblLook w:val="04A0" w:firstRow="1" w:lastRow="0" w:firstColumn="1" w:lastColumn="0" w:noHBand="0" w:noVBand="1"/>
      </w:tblPr>
      <w:tblGrid>
        <w:gridCol w:w="1377"/>
        <w:gridCol w:w="3697"/>
        <w:gridCol w:w="1147"/>
        <w:gridCol w:w="1095"/>
        <w:gridCol w:w="2167"/>
      </w:tblGrid>
      <w:tr w:rsidR="000432EF" w:rsidRPr="000432EF" w:rsidTr="000432EF">
        <w:trPr>
          <w:trHeight w:val="540"/>
        </w:trPr>
        <w:tc>
          <w:tcPr>
            <w:tcW w:w="9480" w:type="dxa"/>
            <w:gridSpan w:val="5"/>
            <w:tcBorders>
              <w:top w:val="single" w:sz="8" w:space="0" w:color="auto"/>
              <w:left w:val="single" w:sz="8" w:space="0" w:color="auto"/>
              <w:bottom w:val="single" w:sz="8" w:space="0" w:color="auto"/>
              <w:right w:val="single" w:sz="8" w:space="0" w:color="000000"/>
            </w:tcBorders>
            <w:shd w:val="clear" w:color="000000" w:fill="FABF8F"/>
            <w:vAlign w:val="center"/>
            <w:hideMark/>
          </w:tcPr>
          <w:p w:rsidR="000432EF" w:rsidRPr="000432EF" w:rsidRDefault="000432EF" w:rsidP="000432EF">
            <w:pPr>
              <w:spacing w:after="0" w:line="240" w:lineRule="auto"/>
              <w:jc w:val="center"/>
              <w:rPr>
                <w:rFonts w:ascii="Calibri" w:eastAsia="Times New Roman" w:hAnsi="Calibri" w:cs="Times New Roman"/>
                <w:b/>
                <w:bCs/>
                <w:color w:val="0D0D0D"/>
                <w:sz w:val="40"/>
                <w:szCs w:val="40"/>
              </w:rPr>
            </w:pPr>
            <w:r w:rsidRPr="000432EF">
              <w:rPr>
                <w:rFonts w:ascii="Calibri" w:eastAsia="Times New Roman" w:hAnsi="Calibri" w:cs="Times New Roman"/>
                <w:b/>
                <w:bCs/>
                <w:color w:val="0D0D0D"/>
                <w:sz w:val="40"/>
                <w:szCs w:val="40"/>
              </w:rPr>
              <w:t>2017 NOFA Renewal Scoring Rubric</w:t>
            </w:r>
          </w:p>
        </w:tc>
      </w:tr>
      <w:tr w:rsidR="000432EF" w:rsidRPr="000432EF" w:rsidTr="000432EF">
        <w:trPr>
          <w:trHeight w:val="300"/>
        </w:trPr>
        <w:tc>
          <w:tcPr>
            <w:tcW w:w="1297" w:type="dxa"/>
            <w:vMerge w:val="restart"/>
            <w:tcBorders>
              <w:top w:val="nil"/>
              <w:left w:val="single" w:sz="8" w:space="0" w:color="auto"/>
              <w:bottom w:val="single" w:sz="8" w:space="0" w:color="000000"/>
              <w:right w:val="single" w:sz="8" w:space="0" w:color="auto"/>
            </w:tcBorders>
            <w:shd w:val="clear" w:color="auto" w:fill="auto"/>
            <w:vAlign w:val="center"/>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Agency</w:t>
            </w:r>
          </w:p>
        </w:tc>
        <w:tc>
          <w:tcPr>
            <w:tcW w:w="8183"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 </w:t>
            </w: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8183" w:type="dxa"/>
            <w:gridSpan w:val="4"/>
            <w:vMerge/>
            <w:tcBorders>
              <w:top w:val="single" w:sz="8" w:space="0" w:color="auto"/>
              <w:left w:val="single" w:sz="8" w:space="0" w:color="auto"/>
              <w:bottom w:val="single" w:sz="8" w:space="0" w:color="000000"/>
              <w:right w:val="single" w:sz="8" w:space="0" w:color="000000"/>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r>
      <w:tr w:rsidR="000432EF" w:rsidRPr="000432EF" w:rsidTr="000432EF">
        <w:trPr>
          <w:trHeight w:val="300"/>
        </w:trPr>
        <w:tc>
          <w:tcPr>
            <w:tcW w:w="1297" w:type="dxa"/>
            <w:vMerge w:val="restart"/>
            <w:tcBorders>
              <w:top w:val="nil"/>
              <w:left w:val="single" w:sz="8" w:space="0" w:color="auto"/>
              <w:bottom w:val="single" w:sz="8" w:space="0" w:color="000000"/>
              <w:right w:val="single" w:sz="8" w:space="0" w:color="auto"/>
            </w:tcBorders>
            <w:shd w:val="clear" w:color="auto" w:fill="auto"/>
            <w:vAlign w:val="center"/>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Project</w:t>
            </w:r>
          </w:p>
        </w:tc>
        <w:tc>
          <w:tcPr>
            <w:tcW w:w="8183"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 </w:t>
            </w: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8183" w:type="dxa"/>
            <w:gridSpan w:val="4"/>
            <w:vMerge/>
            <w:tcBorders>
              <w:top w:val="single" w:sz="8" w:space="0" w:color="auto"/>
              <w:left w:val="single" w:sz="8" w:space="0" w:color="auto"/>
              <w:bottom w:val="single" w:sz="8" w:space="0" w:color="000000"/>
              <w:right w:val="single" w:sz="8" w:space="0" w:color="000000"/>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r>
      <w:tr w:rsidR="000432EF" w:rsidRPr="000432EF" w:rsidTr="000432EF">
        <w:trPr>
          <w:trHeight w:val="300"/>
        </w:trPr>
        <w:tc>
          <w:tcPr>
            <w:tcW w:w="1297" w:type="dxa"/>
            <w:vMerge w:val="restart"/>
            <w:tcBorders>
              <w:top w:val="nil"/>
              <w:left w:val="single" w:sz="8" w:space="0" w:color="auto"/>
              <w:bottom w:val="single" w:sz="8" w:space="0" w:color="000000"/>
              <w:right w:val="single" w:sz="8" w:space="0" w:color="auto"/>
            </w:tcBorders>
            <w:shd w:val="clear" w:color="auto" w:fill="auto"/>
            <w:vAlign w:val="center"/>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Date</w:t>
            </w:r>
          </w:p>
        </w:tc>
        <w:tc>
          <w:tcPr>
            <w:tcW w:w="8183"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 </w:t>
            </w: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8183" w:type="dxa"/>
            <w:gridSpan w:val="4"/>
            <w:vMerge/>
            <w:tcBorders>
              <w:top w:val="single" w:sz="8" w:space="0" w:color="auto"/>
              <w:left w:val="single" w:sz="8" w:space="0" w:color="auto"/>
              <w:bottom w:val="single" w:sz="8" w:space="0" w:color="000000"/>
              <w:right w:val="single" w:sz="8" w:space="0" w:color="000000"/>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r>
      <w:tr w:rsidR="000432EF" w:rsidRPr="000432EF" w:rsidTr="000432EF">
        <w:trPr>
          <w:trHeight w:val="315"/>
        </w:trPr>
        <w:tc>
          <w:tcPr>
            <w:tcW w:w="1297" w:type="dxa"/>
            <w:tcBorders>
              <w:top w:val="nil"/>
              <w:left w:val="single" w:sz="8" w:space="0" w:color="auto"/>
              <w:bottom w:val="single" w:sz="8" w:space="0" w:color="auto"/>
              <w:right w:val="single" w:sz="8" w:space="0" w:color="auto"/>
            </w:tcBorders>
            <w:shd w:val="clear" w:color="000000" w:fill="FABF8F"/>
            <w:noWrap/>
            <w:vAlign w:val="bottom"/>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Category</w:t>
            </w:r>
          </w:p>
        </w:tc>
        <w:tc>
          <w:tcPr>
            <w:tcW w:w="3734" w:type="dxa"/>
            <w:tcBorders>
              <w:top w:val="nil"/>
              <w:left w:val="nil"/>
              <w:bottom w:val="single" w:sz="8" w:space="0" w:color="auto"/>
              <w:right w:val="nil"/>
            </w:tcBorders>
            <w:shd w:val="clear" w:color="000000" w:fill="FABF8F"/>
            <w:noWrap/>
            <w:vAlign w:val="bottom"/>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Scoring Element</w:t>
            </w:r>
          </w:p>
        </w:tc>
        <w:tc>
          <w:tcPr>
            <w:tcW w:w="1157" w:type="dxa"/>
            <w:tcBorders>
              <w:top w:val="nil"/>
              <w:left w:val="nil"/>
              <w:bottom w:val="single" w:sz="8" w:space="0" w:color="auto"/>
              <w:right w:val="single" w:sz="8" w:space="0" w:color="auto"/>
            </w:tcBorders>
            <w:shd w:val="clear" w:color="000000" w:fill="FABF8F"/>
            <w:noWrap/>
            <w:vAlign w:val="bottom"/>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 </w:t>
            </w:r>
          </w:p>
        </w:tc>
        <w:tc>
          <w:tcPr>
            <w:tcW w:w="1104" w:type="dxa"/>
            <w:tcBorders>
              <w:top w:val="nil"/>
              <w:left w:val="nil"/>
              <w:bottom w:val="single" w:sz="8" w:space="0" w:color="auto"/>
              <w:right w:val="single" w:sz="8" w:space="0" w:color="auto"/>
            </w:tcBorders>
            <w:shd w:val="clear" w:color="000000" w:fill="FABF8F"/>
            <w:noWrap/>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Points</w:t>
            </w:r>
          </w:p>
        </w:tc>
        <w:tc>
          <w:tcPr>
            <w:tcW w:w="2188" w:type="dxa"/>
            <w:tcBorders>
              <w:top w:val="nil"/>
              <w:left w:val="nil"/>
              <w:bottom w:val="single" w:sz="8" w:space="0" w:color="auto"/>
              <w:right w:val="single" w:sz="8" w:space="0" w:color="auto"/>
            </w:tcBorders>
            <w:shd w:val="clear" w:color="000000" w:fill="FABF8F"/>
            <w:noWrap/>
            <w:vAlign w:val="bottom"/>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Source of Criteria</w:t>
            </w:r>
          </w:p>
        </w:tc>
      </w:tr>
      <w:tr w:rsidR="000432EF" w:rsidRPr="000432EF" w:rsidTr="000432EF">
        <w:trPr>
          <w:trHeight w:val="300"/>
        </w:trPr>
        <w:tc>
          <w:tcPr>
            <w:tcW w:w="1297" w:type="dxa"/>
            <w:vMerge w:val="restart"/>
            <w:tcBorders>
              <w:top w:val="nil"/>
              <w:left w:val="single" w:sz="8" w:space="0" w:color="auto"/>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HUD Priorities</w:t>
            </w:r>
          </w:p>
        </w:tc>
        <w:tc>
          <w:tcPr>
            <w:tcW w:w="4891" w:type="dxa"/>
            <w:gridSpan w:val="2"/>
            <w:tcBorders>
              <w:top w:val="single" w:sz="8" w:space="0" w:color="auto"/>
              <w:left w:val="nil"/>
              <w:bottom w:val="single" w:sz="4" w:space="0" w:color="auto"/>
              <w:right w:val="single" w:sz="8" w:space="0" w:color="000000"/>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1. Meets HUD Priorties</w:t>
            </w:r>
          </w:p>
        </w:tc>
        <w:tc>
          <w:tcPr>
            <w:tcW w:w="1104" w:type="dxa"/>
            <w:vMerge w:val="restart"/>
            <w:tcBorders>
              <w:top w:val="nil"/>
              <w:left w:val="nil"/>
              <w:bottom w:val="single" w:sz="8" w:space="0" w:color="000000"/>
              <w:right w:val="single" w:sz="8" w:space="0" w:color="auto"/>
            </w:tcBorders>
            <w:shd w:val="clear" w:color="000000" w:fill="FFFFFF"/>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single" w:sz="8" w:space="0" w:color="auto"/>
              <w:bottom w:val="single" w:sz="8" w:space="0" w:color="000000"/>
              <w:right w:val="single" w:sz="8" w:space="0" w:color="auto"/>
            </w:tcBorders>
            <w:shd w:val="clear" w:color="000000" w:fill="FFFFFF"/>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HUD Priorities Worksheet; Priorities found on page 9 of the NOFA</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 xml:space="preserve">All 4 Priorities </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 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3 of 4 Priorities</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 of 4 Priorities</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 or less Priorities</w:t>
            </w:r>
          </w:p>
        </w:tc>
        <w:tc>
          <w:tcPr>
            <w:tcW w:w="1157" w:type="dxa"/>
            <w:tcBorders>
              <w:top w:val="nil"/>
              <w:left w:val="nil"/>
              <w:bottom w:val="nil"/>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val="restart"/>
            <w:tcBorders>
              <w:top w:val="nil"/>
              <w:left w:val="single" w:sz="8" w:space="0" w:color="auto"/>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APR</w:t>
            </w:r>
          </w:p>
        </w:tc>
        <w:tc>
          <w:tcPr>
            <w:tcW w:w="4891" w:type="dxa"/>
            <w:gridSpan w:val="2"/>
            <w:tcBorders>
              <w:top w:val="single" w:sz="8" w:space="0" w:color="auto"/>
              <w:left w:val="nil"/>
              <w:bottom w:val="single" w:sz="4" w:space="0" w:color="auto"/>
              <w:right w:val="single" w:sz="8" w:space="0" w:color="000000"/>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2. Occupancy/Average Daily Unit Utilization</w:t>
            </w:r>
          </w:p>
        </w:tc>
        <w:tc>
          <w:tcPr>
            <w:tcW w:w="1104" w:type="dxa"/>
            <w:vMerge w:val="restart"/>
            <w:tcBorders>
              <w:top w:val="nil"/>
              <w:left w:val="nil"/>
              <w:bottom w:val="single" w:sz="8" w:space="0" w:color="000000"/>
              <w:right w:val="single" w:sz="8" w:space="0" w:color="auto"/>
            </w:tcBorders>
            <w:shd w:val="clear" w:color="000000" w:fill="FDE9D9"/>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single" w:sz="8" w:space="0" w:color="auto"/>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Q11 of APR; if applicants are not funded based on Units, the default will be Bed Utilization Rate</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90%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70-90%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50-70%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&lt;50%</w:t>
            </w:r>
          </w:p>
        </w:tc>
        <w:tc>
          <w:tcPr>
            <w:tcW w:w="1157" w:type="dxa"/>
            <w:tcBorders>
              <w:top w:val="nil"/>
              <w:left w:val="nil"/>
              <w:bottom w:val="nil"/>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9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FFFFF"/>
            <w:vAlign w:val="bottom"/>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3a. PSH Programs: percent of participants who increased or maintained earned income from entry to exit</w:t>
            </w:r>
          </w:p>
        </w:tc>
        <w:tc>
          <w:tcPr>
            <w:tcW w:w="1104" w:type="dxa"/>
            <w:vMerge w:val="restart"/>
            <w:tcBorders>
              <w:top w:val="nil"/>
              <w:left w:val="nil"/>
              <w:bottom w:val="single" w:sz="8" w:space="0" w:color="000000"/>
              <w:right w:val="single" w:sz="8" w:space="0" w:color="auto"/>
            </w:tcBorders>
            <w:shd w:val="clear" w:color="000000" w:fill="FFFFFF"/>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single" w:sz="8" w:space="0" w:color="auto"/>
              <w:bottom w:val="single" w:sz="8" w:space="0" w:color="000000"/>
              <w:right w:val="single" w:sz="8" w:space="0" w:color="auto"/>
            </w:tcBorders>
            <w:shd w:val="clear" w:color="000000" w:fill="FFFFFF"/>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Q24b2 1st Row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15-19%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10-14%</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&lt;10%</w:t>
            </w:r>
          </w:p>
        </w:tc>
        <w:tc>
          <w:tcPr>
            <w:tcW w:w="1157" w:type="dxa"/>
            <w:tcBorders>
              <w:top w:val="nil"/>
              <w:left w:val="nil"/>
              <w:bottom w:val="nil"/>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9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FFFFF"/>
            <w:vAlign w:val="bottom"/>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3b. RRH Programs: percent of participants who increased or maintained earned income from entry to exit</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nil"/>
              <w:left w:val="single" w:sz="8" w:space="0" w:color="auto"/>
              <w:bottom w:val="single" w:sz="8" w:space="0" w:color="000000"/>
              <w:right w:val="single" w:sz="8" w:space="0" w:color="auto"/>
            </w:tcBorders>
            <w:shd w:val="clear" w:color="000000" w:fill="FFFFFF"/>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Q24b2 1st Row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40-49%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25-39%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&lt;24%</w:t>
            </w:r>
          </w:p>
        </w:tc>
        <w:tc>
          <w:tcPr>
            <w:tcW w:w="1157" w:type="dxa"/>
            <w:tcBorders>
              <w:top w:val="nil"/>
              <w:left w:val="nil"/>
              <w:bottom w:val="nil"/>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58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FFFFF"/>
            <w:vAlign w:val="bottom"/>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3c. TH Programs: percent of participants who increased or maintained earned income from entry to exit</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nil"/>
              <w:left w:val="nil"/>
              <w:bottom w:val="single" w:sz="8" w:space="0" w:color="000000"/>
              <w:right w:val="single" w:sz="8" w:space="0" w:color="auto"/>
            </w:tcBorders>
            <w:shd w:val="clear" w:color="000000" w:fill="FFFFFF"/>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Q24b2 1st Row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40-49%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25-39%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8"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&lt;24%</w:t>
            </w:r>
          </w:p>
        </w:tc>
        <w:tc>
          <w:tcPr>
            <w:tcW w:w="1157" w:type="dxa"/>
            <w:tcBorders>
              <w:top w:val="nil"/>
              <w:left w:val="nil"/>
              <w:bottom w:val="single" w:sz="8"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900"/>
        </w:trPr>
        <w:tc>
          <w:tcPr>
            <w:tcW w:w="1297" w:type="dxa"/>
            <w:vMerge w:val="restart"/>
            <w:tcBorders>
              <w:top w:val="nil"/>
              <w:left w:val="single" w:sz="8" w:space="0" w:color="auto"/>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APR</w:t>
            </w:r>
          </w:p>
        </w:tc>
        <w:tc>
          <w:tcPr>
            <w:tcW w:w="4891" w:type="dxa"/>
            <w:gridSpan w:val="2"/>
            <w:tcBorders>
              <w:top w:val="single" w:sz="8" w:space="0" w:color="auto"/>
              <w:left w:val="nil"/>
              <w:bottom w:val="single" w:sz="4" w:space="0" w:color="auto"/>
              <w:right w:val="single" w:sz="8" w:space="0" w:color="000000"/>
            </w:tcBorders>
            <w:shd w:val="clear" w:color="000000" w:fill="FDE9D9"/>
            <w:vAlign w:val="bottom"/>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4a. PSH Programs: percent of participants who increased or maintained other (non-employment) income from entry to exit</w:t>
            </w:r>
          </w:p>
        </w:tc>
        <w:tc>
          <w:tcPr>
            <w:tcW w:w="1104" w:type="dxa"/>
            <w:vMerge w:val="restart"/>
            <w:tcBorders>
              <w:top w:val="nil"/>
              <w:left w:val="nil"/>
              <w:bottom w:val="single" w:sz="8" w:space="0" w:color="000000"/>
              <w:right w:val="single" w:sz="8" w:space="0" w:color="auto"/>
            </w:tcBorders>
            <w:shd w:val="clear" w:color="000000" w:fill="FDE9D9"/>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Q24b2 3rd Row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30%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24-29%</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23-20%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8"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&lt;19%</w:t>
            </w:r>
          </w:p>
        </w:tc>
        <w:tc>
          <w:tcPr>
            <w:tcW w:w="1157" w:type="dxa"/>
            <w:tcBorders>
              <w:top w:val="nil"/>
              <w:left w:val="nil"/>
              <w:bottom w:val="single" w:sz="8"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9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DE9D9"/>
            <w:vAlign w:val="bottom"/>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4b. RRH Programs: percent of participants who increased or maintained other (non-employment) income from entry to exit</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nil"/>
              <w:left w:val="nil"/>
              <w:bottom w:val="nil"/>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Q24b2 3rd Row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40-49%</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25-39%</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8"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&lt;24%</w:t>
            </w:r>
          </w:p>
        </w:tc>
        <w:tc>
          <w:tcPr>
            <w:tcW w:w="1157" w:type="dxa"/>
            <w:tcBorders>
              <w:top w:val="nil"/>
              <w:left w:val="nil"/>
              <w:bottom w:val="single" w:sz="8"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93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DE9D9"/>
            <w:vAlign w:val="bottom"/>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4c. TH Programs: percent of participants who increased or maintained other (non-employment) income from entry to exit</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single" w:sz="8" w:space="0" w:color="auto"/>
              <w:left w:val="nil"/>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Q24b2 3rd Row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single" w:sz="8" w:space="0" w:color="auto"/>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40-49%</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single" w:sz="8" w:space="0" w:color="auto"/>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25-39%</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single" w:sz="8" w:space="0" w:color="auto"/>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&lt;24%</w:t>
            </w:r>
          </w:p>
        </w:tc>
        <w:tc>
          <w:tcPr>
            <w:tcW w:w="1157" w:type="dxa"/>
            <w:tcBorders>
              <w:top w:val="nil"/>
              <w:left w:val="nil"/>
              <w:bottom w:val="nil"/>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single" w:sz="8" w:space="0" w:color="auto"/>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6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5a. PSH Programs: percent of participants with earned income</w:t>
            </w:r>
          </w:p>
        </w:tc>
        <w:tc>
          <w:tcPr>
            <w:tcW w:w="1104" w:type="dxa"/>
            <w:vMerge w:val="restart"/>
            <w:tcBorders>
              <w:top w:val="nil"/>
              <w:left w:val="nil"/>
              <w:bottom w:val="single" w:sz="8" w:space="0" w:color="000000"/>
              <w:right w:val="single" w:sz="8" w:space="0" w:color="auto"/>
            </w:tcBorders>
            <w:shd w:val="clear" w:color="auto" w:fill="auto"/>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Q24b3 1st Row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15-19%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10-14%</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&lt;10%</w:t>
            </w:r>
          </w:p>
        </w:tc>
        <w:tc>
          <w:tcPr>
            <w:tcW w:w="1157" w:type="dxa"/>
            <w:tcBorders>
              <w:top w:val="nil"/>
              <w:left w:val="nil"/>
              <w:bottom w:val="nil"/>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6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5b. RRH Programs: percent of participants with earned income</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nil"/>
              <w:left w:val="nil"/>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Q24b3 1st Row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40-49%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25-39%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&lt;24%</w:t>
            </w:r>
          </w:p>
        </w:tc>
        <w:tc>
          <w:tcPr>
            <w:tcW w:w="1157" w:type="dxa"/>
            <w:tcBorders>
              <w:top w:val="nil"/>
              <w:left w:val="nil"/>
              <w:bottom w:val="nil"/>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58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5c. TH Programs: percent of participants with earned income</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nil"/>
              <w:left w:val="nil"/>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Q24b3 1st Row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40-49%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25-39%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8"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&lt;24%</w:t>
            </w:r>
          </w:p>
        </w:tc>
        <w:tc>
          <w:tcPr>
            <w:tcW w:w="1157" w:type="dxa"/>
            <w:tcBorders>
              <w:top w:val="nil"/>
              <w:left w:val="nil"/>
              <w:bottom w:val="single" w:sz="8"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600"/>
        </w:trPr>
        <w:tc>
          <w:tcPr>
            <w:tcW w:w="1297" w:type="dxa"/>
            <w:vMerge w:val="restart"/>
            <w:tcBorders>
              <w:top w:val="nil"/>
              <w:left w:val="single" w:sz="8" w:space="0" w:color="auto"/>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APR</w:t>
            </w:r>
          </w:p>
        </w:tc>
        <w:tc>
          <w:tcPr>
            <w:tcW w:w="4891" w:type="dxa"/>
            <w:gridSpan w:val="2"/>
            <w:tcBorders>
              <w:top w:val="single" w:sz="8" w:space="0" w:color="auto"/>
              <w:left w:val="nil"/>
              <w:bottom w:val="single" w:sz="4" w:space="0" w:color="auto"/>
              <w:right w:val="single" w:sz="8" w:space="0" w:color="000000"/>
            </w:tcBorders>
            <w:shd w:val="clear" w:color="000000" w:fill="FDE9D9"/>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6a. PSH Programs: percent of participants with income other than employment</w:t>
            </w:r>
          </w:p>
        </w:tc>
        <w:tc>
          <w:tcPr>
            <w:tcW w:w="1104" w:type="dxa"/>
            <w:vMerge w:val="restart"/>
            <w:tcBorders>
              <w:top w:val="nil"/>
              <w:left w:val="nil"/>
              <w:bottom w:val="single" w:sz="8" w:space="0" w:color="000000"/>
              <w:right w:val="single" w:sz="8" w:space="0" w:color="auto"/>
            </w:tcBorders>
            <w:shd w:val="clear" w:color="000000" w:fill="FDE9D9"/>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Q24b3 3rd Row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40-49%</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25-39%</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&lt;24%</w:t>
            </w:r>
          </w:p>
        </w:tc>
        <w:tc>
          <w:tcPr>
            <w:tcW w:w="1157" w:type="dxa"/>
            <w:tcBorders>
              <w:top w:val="nil"/>
              <w:left w:val="nil"/>
              <w:bottom w:val="nil"/>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6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DE9D9"/>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6b. RRH Programs: percent of participants with income other than employment</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nil"/>
              <w:left w:val="nil"/>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Q24b3 3rd Row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30%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24-29%</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23-20%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&lt;19%</w:t>
            </w:r>
          </w:p>
        </w:tc>
        <w:tc>
          <w:tcPr>
            <w:tcW w:w="1157" w:type="dxa"/>
            <w:tcBorders>
              <w:top w:val="nil"/>
              <w:left w:val="nil"/>
              <w:bottom w:val="nil"/>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6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DE9D9"/>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6c. TH Programs: percent of participants with income other than employment</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nil"/>
              <w:left w:val="nil"/>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Q24b3 3rd Row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30%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24-29%</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23-20%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&lt;19%</w:t>
            </w:r>
          </w:p>
        </w:tc>
        <w:tc>
          <w:tcPr>
            <w:tcW w:w="1157" w:type="dxa"/>
            <w:tcBorders>
              <w:top w:val="nil"/>
              <w:left w:val="nil"/>
              <w:bottom w:val="nil"/>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6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7a. PSH: percent of participants who remain in PSH or exited to permanent housing</w:t>
            </w:r>
          </w:p>
        </w:tc>
        <w:tc>
          <w:tcPr>
            <w:tcW w:w="1104" w:type="dxa"/>
            <w:vMerge w:val="restart"/>
            <w:tcBorders>
              <w:top w:val="nil"/>
              <w:left w:val="nil"/>
              <w:bottom w:val="single" w:sz="8" w:space="0" w:color="000000"/>
              <w:right w:val="single" w:sz="8" w:space="0" w:color="auto"/>
            </w:tcBorders>
            <w:shd w:val="clear" w:color="auto" w:fill="auto"/>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Q29a1 of APR; (Subtotal of Permanent destinations)/ (total number of Leavers- Deceased) from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80%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75-79%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70-74%</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&lt;69%</w:t>
            </w:r>
          </w:p>
        </w:tc>
        <w:tc>
          <w:tcPr>
            <w:tcW w:w="1157" w:type="dxa"/>
            <w:tcBorders>
              <w:top w:val="nil"/>
              <w:left w:val="nil"/>
              <w:bottom w:val="nil"/>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6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7b. RRH: percent of participants who exited to permanent housing</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nil"/>
              <w:left w:val="nil"/>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Q29a1 of APR; (Subtotal of Permanent destinations)/ (total number of Leavers- Deceased) from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80%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75-79%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70-74%</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&lt;69%</w:t>
            </w:r>
          </w:p>
        </w:tc>
        <w:tc>
          <w:tcPr>
            <w:tcW w:w="1157" w:type="dxa"/>
            <w:tcBorders>
              <w:top w:val="nil"/>
              <w:left w:val="nil"/>
              <w:bottom w:val="nil"/>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64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7c. TH: percent of participants who  exited to permanent housing</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nil"/>
              <w:left w:val="nil"/>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Q29a1 of APR; (Subtotal of Permanent destinations)/ (total number of Leavers- Deceased) from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80%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75-79%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70-74%</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&lt;69%</w:t>
            </w:r>
          </w:p>
        </w:tc>
        <w:tc>
          <w:tcPr>
            <w:tcW w:w="1157" w:type="dxa"/>
            <w:tcBorders>
              <w:top w:val="nil"/>
              <w:left w:val="nil"/>
              <w:bottom w:val="nil"/>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DE9D9"/>
            <w:noWrap/>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8. Leavers who exited to shelter, streets, or unknown</w:t>
            </w:r>
          </w:p>
        </w:tc>
        <w:tc>
          <w:tcPr>
            <w:tcW w:w="1104" w:type="dxa"/>
            <w:vMerge w:val="restart"/>
            <w:tcBorders>
              <w:top w:val="nil"/>
              <w:left w:val="nil"/>
              <w:bottom w:val="single" w:sz="8" w:space="0" w:color="000000"/>
              <w:right w:val="single" w:sz="8" w:space="0" w:color="auto"/>
            </w:tcBorders>
            <w:shd w:val="clear" w:color="000000" w:fill="FDE9D9"/>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Q29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&lt;10%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11-15%</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16-20%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8"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&gt;20%</w:t>
            </w:r>
          </w:p>
        </w:tc>
        <w:tc>
          <w:tcPr>
            <w:tcW w:w="1157" w:type="dxa"/>
            <w:tcBorders>
              <w:top w:val="nil"/>
              <w:left w:val="nil"/>
              <w:bottom w:val="single" w:sz="8"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val="restart"/>
            <w:tcBorders>
              <w:top w:val="nil"/>
              <w:left w:val="single" w:sz="8" w:space="0" w:color="auto"/>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Targeting Hard to Serve</w:t>
            </w:r>
          </w:p>
        </w:tc>
        <w:tc>
          <w:tcPr>
            <w:tcW w:w="4891" w:type="dxa"/>
            <w:gridSpan w:val="2"/>
            <w:tcBorders>
              <w:top w:val="single" w:sz="8" w:space="0" w:color="auto"/>
              <w:left w:val="nil"/>
              <w:bottom w:val="single" w:sz="4" w:space="0" w:color="auto"/>
              <w:right w:val="single" w:sz="8" w:space="0" w:color="000000"/>
            </w:tcBorders>
            <w:shd w:val="clear" w:color="auto" w:fill="auto"/>
            <w:noWrap/>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9a. PSH percent of entries from literal homelessness</w:t>
            </w:r>
          </w:p>
        </w:tc>
        <w:tc>
          <w:tcPr>
            <w:tcW w:w="1104" w:type="dxa"/>
            <w:vMerge w:val="restart"/>
            <w:tcBorders>
              <w:top w:val="nil"/>
              <w:left w:val="nil"/>
              <w:bottom w:val="single" w:sz="8" w:space="0" w:color="000000"/>
              <w:right w:val="single" w:sz="8" w:space="0" w:color="auto"/>
            </w:tcBorders>
            <w:shd w:val="clear" w:color="auto" w:fill="auto"/>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Q20a1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80%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75-79%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70-74%</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&lt;69%</w:t>
            </w:r>
          </w:p>
        </w:tc>
        <w:tc>
          <w:tcPr>
            <w:tcW w:w="1157" w:type="dxa"/>
            <w:tcBorders>
              <w:top w:val="nil"/>
              <w:left w:val="nil"/>
              <w:bottom w:val="nil"/>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auto" w:fill="auto"/>
            <w:noWrap/>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9b. RRH percent of entries from literal homelessness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nil"/>
              <w:left w:val="nil"/>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Q20a1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80%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75-79%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70-74%</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&lt;69%</w:t>
            </w:r>
          </w:p>
        </w:tc>
        <w:tc>
          <w:tcPr>
            <w:tcW w:w="1157" w:type="dxa"/>
            <w:tcBorders>
              <w:top w:val="nil"/>
              <w:left w:val="nil"/>
              <w:bottom w:val="nil"/>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9c. TH percent of entries from literal homelessness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nil"/>
              <w:left w:val="nil"/>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Q20a1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80%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75-79%</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70-74%</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&lt;69%</w:t>
            </w:r>
          </w:p>
        </w:tc>
        <w:tc>
          <w:tcPr>
            <w:tcW w:w="1157" w:type="dxa"/>
            <w:tcBorders>
              <w:top w:val="nil"/>
              <w:left w:val="nil"/>
              <w:bottom w:val="nil"/>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DE9D9"/>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10a. PSH participant entries with no income</w:t>
            </w:r>
          </w:p>
        </w:tc>
        <w:tc>
          <w:tcPr>
            <w:tcW w:w="1104" w:type="dxa"/>
            <w:vMerge w:val="restart"/>
            <w:tcBorders>
              <w:top w:val="nil"/>
              <w:left w:val="nil"/>
              <w:bottom w:val="single" w:sz="8" w:space="0" w:color="000000"/>
              <w:right w:val="single" w:sz="8" w:space="0" w:color="auto"/>
            </w:tcBorders>
            <w:shd w:val="clear" w:color="000000" w:fill="FDE9D9"/>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single" w:sz="8" w:space="0" w:color="auto"/>
              <w:bottom w:val="single" w:sz="8" w:space="0" w:color="000000"/>
              <w:right w:val="single" w:sz="8" w:space="0" w:color="auto"/>
            </w:tcBorders>
            <w:shd w:val="clear" w:color="000000" w:fill="FDE9D9"/>
            <w:noWrap/>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Q24b3 row 5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&gt;45%</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40-44%</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35-39%</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&lt;34%</w:t>
            </w:r>
          </w:p>
        </w:tc>
        <w:tc>
          <w:tcPr>
            <w:tcW w:w="1157" w:type="dxa"/>
            <w:tcBorders>
              <w:top w:val="nil"/>
              <w:left w:val="nil"/>
              <w:bottom w:val="nil"/>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DE9D9"/>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10b. RRH participant entries with no income</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nil"/>
              <w:left w:val="nil"/>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Q24b3 row 5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&gt;45%</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40-44%</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35-39%</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&lt;34%</w:t>
            </w:r>
          </w:p>
        </w:tc>
        <w:tc>
          <w:tcPr>
            <w:tcW w:w="1157" w:type="dxa"/>
            <w:tcBorders>
              <w:top w:val="nil"/>
              <w:left w:val="nil"/>
              <w:bottom w:val="nil"/>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DE9D9"/>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10c. TH participant entries with no income</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val="restart"/>
            <w:tcBorders>
              <w:top w:val="nil"/>
              <w:left w:val="nil"/>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Q24b3 row 5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&gt;45%</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40-44%</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35-39%</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&lt;34%</w:t>
            </w:r>
          </w:p>
        </w:tc>
        <w:tc>
          <w:tcPr>
            <w:tcW w:w="1157" w:type="dxa"/>
            <w:tcBorders>
              <w:top w:val="nil"/>
              <w:left w:val="nil"/>
              <w:bottom w:val="nil"/>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val="restart"/>
            <w:tcBorders>
              <w:top w:val="nil"/>
              <w:left w:val="single" w:sz="8" w:space="0" w:color="auto"/>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Financial</w:t>
            </w:r>
          </w:p>
        </w:tc>
        <w:tc>
          <w:tcPr>
            <w:tcW w:w="4891" w:type="dxa"/>
            <w:gridSpan w:val="2"/>
            <w:tcBorders>
              <w:top w:val="single" w:sz="8" w:space="0" w:color="auto"/>
              <w:left w:val="nil"/>
              <w:bottom w:val="single" w:sz="4" w:space="0" w:color="auto"/>
              <w:right w:val="single" w:sz="8" w:space="0" w:color="000000"/>
            </w:tcBorders>
            <w:shd w:val="clear" w:color="auto" w:fill="auto"/>
            <w:vAlign w:val="bottom"/>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11. Audit Review</w:t>
            </w:r>
          </w:p>
        </w:tc>
        <w:tc>
          <w:tcPr>
            <w:tcW w:w="1104" w:type="dxa"/>
            <w:vMerge w:val="restart"/>
            <w:tcBorders>
              <w:top w:val="nil"/>
              <w:left w:val="nil"/>
              <w:bottom w:val="single" w:sz="8" w:space="0" w:color="000000"/>
              <w:right w:val="single" w:sz="8" w:space="0" w:color="auto"/>
            </w:tcBorders>
            <w:shd w:val="clear" w:color="auto" w:fill="auto"/>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Audit submited by Applicant</w:t>
            </w:r>
          </w:p>
        </w:tc>
      </w:tr>
      <w:tr w:rsidR="000432EF" w:rsidRPr="000432EF" w:rsidTr="000432EF">
        <w:trPr>
          <w:trHeight w:val="6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 xml:space="preserve">Audit shows agency as a low risk auditee </w:t>
            </w:r>
            <w:r w:rsidRPr="000432EF">
              <w:rPr>
                <w:rFonts w:ascii="Calibri" w:eastAsia="Times New Roman" w:hAnsi="Calibri" w:cs="Times New Roman"/>
                <w:b/>
                <w:bCs/>
                <w:color w:val="000000"/>
              </w:rPr>
              <w:t>AND</w:t>
            </w:r>
            <w:r w:rsidRPr="000432EF">
              <w:rPr>
                <w:rFonts w:ascii="Calibri" w:eastAsia="Times New Roman" w:hAnsi="Calibri" w:cs="Times New Roman"/>
                <w:color w:val="000000"/>
              </w:rPr>
              <w:t xml:space="preserve"> no findings</w:t>
            </w:r>
          </w:p>
        </w:tc>
        <w:tc>
          <w:tcPr>
            <w:tcW w:w="1157" w:type="dxa"/>
            <w:tcBorders>
              <w:top w:val="nil"/>
              <w:left w:val="nil"/>
              <w:bottom w:val="single" w:sz="4" w:space="0" w:color="auto"/>
              <w:right w:val="single" w:sz="8"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6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auto" w:fill="auto"/>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 xml:space="preserve">Audit shows agency as a low risk auditee </w:t>
            </w:r>
            <w:r w:rsidRPr="000432EF">
              <w:rPr>
                <w:rFonts w:ascii="Calibri" w:eastAsia="Times New Roman" w:hAnsi="Calibri" w:cs="Times New Roman"/>
                <w:b/>
                <w:bCs/>
                <w:color w:val="000000"/>
              </w:rPr>
              <w:t>OR</w:t>
            </w:r>
            <w:r w:rsidRPr="000432EF">
              <w:rPr>
                <w:rFonts w:ascii="Calibri" w:eastAsia="Times New Roman" w:hAnsi="Calibri" w:cs="Times New Roman"/>
                <w:color w:val="000000"/>
              </w:rPr>
              <w:t xml:space="preserve"> agency has no findings</w:t>
            </w:r>
          </w:p>
        </w:tc>
        <w:tc>
          <w:tcPr>
            <w:tcW w:w="1157" w:type="dxa"/>
            <w:tcBorders>
              <w:top w:val="nil"/>
              <w:left w:val="nil"/>
              <w:bottom w:val="single" w:sz="4" w:space="0" w:color="auto"/>
              <w:right w:val="single" w:sz="8"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6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auto" w:fill="auto"/>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 xml:space="preserve">Audit shows agency at high risk </w:t>
            </w:r>
            <w:r w:rsidRPr="000432EF">
              <w:rPr>
                <w:rFonts w:ascii="Calibri" w:eastAsia="Times New Roman" w:hAnsi="Calibri" w:cs="Times New Roman"/>
                <w:b/>
                <w:bCs/>
                <w:color w:val="000000"/>
              </w:rPr>
              <w:t>AND</w:t>
            </w:r>
            <w:r w:rsidRPr="000432EF">
              <w:rPr>
                <w:rFonts w:ascii="Calibri" w:eastAsia="Times New Roman" w:hAnsi="Calibri" w:cs="Times New Roman"/>
                <w:color w:val="000000"/>
              </w:rPr>
              <w:t xml:space="preserve"> findings</w:t>
            </w:r>
          </w:p>
        </w:tc>
        <w:tc>
          <w:tcPr>
            <w:tcW w:w="1157" w:type="dxa"/>
            <w:tcBorders>
              <w:top w:val="nil"/>
              <w:left w:val="nil"/>
              <w:bottom w:val="nil"/>
              <w:right w:val="single" w:sz="8" w:space="0" w:color="auto"/>
            </w:tcBorders>
            <w:shd w:val="clear" w:color="auto" w:fill="auto"/>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DE9D9"/>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12. LOCCS - Total Expenditures ( timely spending)</w:t>
            </w:r>
          </w:p>
        </w:tc>
        <w:tc>
          <w:tcPr>
            <w:tcW w:w="1104" w:type="dxa"/>
            <w:vMerge w:val="restart"/>
            <w:tcBorders>
              <w:top w:val="nil"/>
              <w:left w:val="nil"/>
              <w:bottom w:val="single" w:sz="8" w:space="0" w:color="000000"/>
              <w:right w:val="single" w:sz="8" w:space="0" w:color="auto"/>
            </w:tcBorders>
            <w:shd w:val="clear" w:color="000000" w:fill="FDE9D9"/>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Q31a4 of APR; Expenditures Total/ Awarded Amount</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&gt;80%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8" w:space="0" w:color="auto"/>
              <w:right w:val="single" w:sz="4" w:space="0" w:color="auto"/>
            </w:tcBorders>
            <w:shd w:val="clear" w:color="000000" w:fill="FDE9D9"/>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&lt;79%</w:t>
            </w:r>
          </w:p>
        </w:tc>
        <w:tc>
          <w:tcPr>
            <w:tcW w:w="1157" w:type="dxa"/>
            <w:tcBorders>
              <w:top w:val="nil"/>
              <w:left w:val="nil"/>
              <w:bottom w:val="single" w:sz="8"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585"/>
        </w:trPr>
        <w:tc>
          <w:tcPr>
            <w:tcW w:w="1297" w:type="dxa"/>
            <w:vMerge w:val="restart"/>
            <w:tcBorders>
              <w:top w:val="nil"/>
              <w:left w:val="single" w:sz="8" w:space="0" w:color="auto"/>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Coordinated Access</w:t>
            </w:r>
          </w:p>
        </w:tc>
        <w:tc>
          <w:tcPr>
            <w:tcW w:w="4891" w:type="dxa"/>
            <w:gridSpan w:val="2"/>
            <w:tcBorders>
              <w:top w:val="single" w:sz="8" w:space="0" w:color="auto"/>
              <w:left w:val="nil"/>
              <w:bottom w:val="single" w:sz="4" w:space="0" w:color="auto"/>
              <w:right w:val="single" w:sz="8" w:space="0" w:color="000000"/>
            </w:tcBorders>
            <w:shd w:val="clear" w:color="000000" w:fill="FFFFFF"/>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13. Participation in Coordinated Entry Planning and Implementation</w:t>
            </w:r>
          </w:p>
        </w:tc>
        <w:tc>
          <w:tcPr>
            <w:tcW w:w="1104" w:type="dxa"/>
            <w:vMerge w:val="restart"/>
            <w:tcBorders>
              <w:top w:val="nil"/>
              <w:left w:val="nil"/>
              <w:bottom w:val="single" w:sz="8" w:space="0" w:color="000000"/>
              <w:right w:val="single" w:sz="8" w:space="0" w:color="auto"/>
            </w:tcBorders>
            <w:shd w:val="clear" w:color="000000" w:fill="FFFFFF"/>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000000" w:fill="FFFFFF"/>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 </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Yes</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No</w:t>
            </w:r>
          </w:p>
        </w:tc>
        <w:tc>
          <w:tcPr>
            <w:tcW w:w="1157" w:type="dxa"/>
            <w:tcBorders>
              <w:top w:val="nil"/>
              <w:left w:val="nil"/>
              <w:bottom w:val="nil"/>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val="restart"/>
            <w:tcBorders>
              <w:top w:val="nil"/>
              <w:left w:val="single" w:sz="8" w:space="0" w:color="auto"/>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HMIS Monitoring &amp; Data Quality</w:t>
            </w:r>
          </w:p>
        </w:tc>
        <w:tc>
          <w:tcPr>
            <w:tcW w:w="4891" w:type="dxa"/>
            <w:gridSpan w:val="2"/>
            <w:tcBorders>
              <w:top w:val="single" w:sz="8" w:space="0" w:color="auto"/>
              <w:left w:val="nil"/>
              <w:bottom w:val="single" w:sz="4" w:space="0" w:color="auto"/>
              <w:right w:val="single" w:sz="8" w:space="0" w:color="000000"/>
            </w:tcBorders>
            <w:shd w:val="clear" w:color="000000" w:fill="FDE9D9"/>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14. HMIS Site Visit</w:t>
            </w:r>
          </w:p>
        </w:tc>
        <w:tc>
          <w:tcPr>
            <w:tcW w:w="1104" w:type="dxa"/>
            <w:vMerge w:val="restart"/>
            <w:tcBorders>
              <w:top w:val="nil"/>
              <w:left w:val="nil"/>
              <w:bottom w:val="single" w:sz="8" w:space="0" w:color="000000"/>
              <w:right w:val="single" w:sz="8" w:space="0" w:color="auto"/>
            </w:tcBorders>
            <w:shd w:val="clear" w:color="000000" w:fill="FDE9D9"/>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Site Visit Score Sheet;  (DV Exception as they do not use HMIS)</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11-12</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8-10</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&lt;8</w:t>
            </w:r>
          </w:p>
        </w:tc>
        <w:tc>
          <w:tcPr>
            <w:tcW w:w="1157" w:type="dxa"/>
            <w:tcBorders>
              <w:top w:val="nil"/>
              <w:left w:val="nil"/>
              <w:bottom w:val="nil"/>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FFFFF"/>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15. HMIS Data Completeness</w:t>
            </w:r>
          </w:p>
        </w:tc>
        <w:tc>
          <w:tcPr>
            <w:tcW w:w="1104" w:type="dxa"/>
            <w:vMerge w:val="restart"/>
            <w:tcBorders>
              <w:top w:val="nil"/>
              <w:left w:val="nil"/>
              <w:bottom w:val="single" w:sz="8" w:space="0" w:color="000000"/>
              <w:right w:val="single" w:sz="8" w:space="0" w:color="auto"/>
            </w:tcBorders>
            <w:shd w:val="clear" w:color="000000" w:fill="FFFFFF"/>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000000" w:fill="FFFFFF"/>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Program Report Card; for DV use Q7DV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&gt;90%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70-90%</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nil"/>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&lt;70%</w:t>
            </w:r>
          </w:p>
        </w:tc>
        <w:tc>
          <w:tcPr>
            <w:tcW w:w="1157" w:type="dxa"/>
            <w:tcBorders>
              <w:top w:val="nil"/>
              <w:left w:val="nil"/>
              <w:bottom w:val="nil"/>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DE9D9"/>
            <w:noWrap/>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16. HMIS Data Completeness</w:t>
            </w:r>
          </w:p>
        </w:tc>
        <w:tc>
          <w:tcPr>
            <w:tcW w:w="1104" w:type="dxa"/>
            <w:vMerge w:val="restart"/>
            <w:tcBorders>
              <w:top w:val="nil"/>
              <w:left w:val="single" w:sz="8" w:space="0" w:color="auto"/>
              <w:bottom w:val="single" w:sz="8" w:space="0" w:color="000000"/>
              <w:right w:val="single" w:sz="8" w:space="0" w:color="auto"/>
            </w:tcBorders>
            <w:shd w:val="clear" w:color="000000" w:fill="FDE9D9"/>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single" w:sz="8" w:space="0" w:color="auto"/>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Program Report Card; for DV use Q7DV of APR</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&gt;98% accuracy</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8"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&lt;98% accuracy</w:t>
            </w:r>
          </w:p>
        </w:tc>
        <w:tc>
          <w:tcPr>
            <w:tcW w:w="1157" w:type="dxa"/>
            <w:tcBorders>
              <w:top w:val="nil"/>
              <w:left w:val="nil"/>
              <w:bottom w:val="single" w:sz="8"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FFFFF"/>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17. PIT and HIC data submitted on time</w:t>
            </w:r>
          </w:p>
        </w:tc>
        <w:tc>
          <w:tcPr>
            <w:tcW w:w="1104" w:type="dxa"/>
            <w:vMerge w:val="restart"/>
            <w:tcBorders>
              <w:top w:val="nil"/>
              <w:left w:val="nil"/>
              <w:bottom w:val="single" w:sz="8" w:space="0" w:color="000000"/>
              <w:right w:val="single" w:sz="8" w:space="0" w:color="auto"/>
            </w:tcBorders>
            <w:shd w:val="clear" w:color="000000" w:fill="FFFFFF"/>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000000" w:fill="FFFFFF"/>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PIT &amp; HIC Submissions Screenshot</w:t>
            </w:r>
          </w:p>
        </w:tc>
      </w:tr>
      <w:tr w:rsidR="000432EF" w:rsidRPr="000432EF" w:rsidTr="000432EF">
        <w:trPr>
          <w:trHeight w:val="300"/>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Yes</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8"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No</w:t>
            </w:r>
          </w:p>
        </w:tc>
        <w:tc>
          <w:tcPr>
            <w:tcW w:w="1157" w:type="dxa"/>
            <w:tcBorders>
              <w:top w:val="nil"/>
              <w:left w:val="nil"/>
              <w:bottom w:val="single" w:sz="8"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val="restart"/>
            <w:tcBorders>
              <w:top w:val="nil"/>
              <w:left w:val="single" w:sz="8" w:space="0" w:color="auto"/>
              <w:bottom w:val="nil"/>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CoC Participation</w:t>
            </w:r>
          </w:p>
        </w:tc>
        <w:tc>
          <w:tcPr>
            <w:tcW w:w="4891" w:type="dxa"/>
            <w:gridSpan w:val="2"/>
            <w:tcBorders>
              <w:top w:val="single" w:sz="8" w:space="0" w:color="auto"/>
              <w:left w:val="nil"/>
              <w:bottom w:val="single" w:sz="4" w:space="0" w:color="auto"/>
              <w:right w:val="single" w:sz="8" w:space="0" w:color="000000"/>
            </w:tcBorders>
            <w:shd w:val="clear" w:color="000000" w:fill="FDE9D9"/>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18. PIT/HIC Involvement</w:t>
            </w:r>
          </w:p>
        </w:tc>
        <w:tc>
          <w:tcPr>
            <w:tcW w:w="1104" w:type="dxa"/>
            <w:vMerge w:val="restart"/>
            <w:tcBorders>
              <w:top w:val="nil"/>
              <w:left w:val="nil"/>
              <w:bottom w:val="single" w:sz="8" w:space="0" w:color="000000"/>
              <w:right w:val="single" w:sz="8" w:space="0" w:color="auto"/>
            </w:tcBorders>
            <w:shd w:val="clear" w:color="000000" w:fill="FDE9D9"/>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Pit Project Manager Sign Up</w:t>
            </w:r>
          </w:p>
        </w:tc>
      </w:tr>
      <w:tr w:rsidR="000432EF" w:rsidRPr="000432EF" w:rsidTr="000432EF">
        <w:trPr>
          <w:trHeight w:val="300"/>
        </w:trPr>
        <w:tc>
          <w:tcPr>
            <w:tcW w:w="1297" w:type="dxa"/>
            <w:vMerge/>
            <w:tcBorders>
              <w:top w:val="nil"/>
              <w:left w:val="single" w:sz="8" w:space="0" w:color="auto"/>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Involved in BOTH PIT and HIC</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Involved in one</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=5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8"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Note involved in either</w:t>
            </w:r>
          </w:p>
        </w:tc>
        <w:tc>
          <w:tcPr>
            <w:tcW w:w="1157" w:type="dxa"/>
            <w:tcBorders>
              <w:top w:val="nil"/>
              <w:left w:val="nil"/>
              <w:bottom w:val="single" w:sz="8"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tcBorders>
              <w:top w:val="nil"/>
              <w:left w:val="single" w:sz="8" w:space="0" w:color="auto"/>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4891" w:type="dxa"/>
            <w:gridSpan w:val="2"/>
            <w:tcBorders>
              <w:top w:val="single" w:sz="8" w:space="0" w:color="auto"/>
              <w:left w:val="nil"/>
              <w:bottom w:val="single" w:sz="4" w:space="0" w:color="auto"/>
              <w:right w:val="single" w:sz="8" w:space="0" w:color="000000"/>
            </w:tcBorders>
            <w:shd w:val="clear" w:color="000000" w:fill="FFFFFF"/>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19. CoC/HMIS Advisory Attendance</w:t>
            </w:r>
          </w:p>
        </w:tc>
        <w:tc>
          <w:tcPr>
            <w:tcW w:w="1104" w:type="dxa"/>
            <w:vMerge w:val="restart"/>
            <w:tcBorders>
              <w:top w:val="nil"/>
              <w:left w:val="nil"/>
              <w:bottom w:val="nil"/>
              <w:right w:val="single" w:sz="8" w:space="0" w:color="auto"/>
            </w:tcBorders>
            <w:shd w:val="clear" w:color="000000" w:fill="FFFFFF"/>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nil"/>
              <w:right w:val="single" w:sz="8" w:space="0" w:color="auto"/>
            </w:tcBorders>
            <w:shd w:val="clear" w:color="000000" w:fill="FFFFFF"/>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HMIS/CoC Advisory Sign Up Sheets</w:t>
            </w:r>
          </w:p>
        </w:tc>
      </w:tr>
      <w:tr w:rsidR="000432EF" w:rsidRPr="000432EF" w:rsidTr="000432EF">
        <w:trPr>
          <w:trHeight w:val="300"/>
        </w:trPr>
        <w:tc>
          <w:tcPr>
            <w:tcW w:w="1297" w:type="dxa"/>
            <w:vMerge/>
            <w:tcBorders>
              <w:top w:val="nil"/>
              <w:left w:val="single" w:sz="8" w:space="0" w:color="auto"/>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Attended &gt;75% of Meetings</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nil"/>
              <w:left w:val="single" w:sz="8" w:space="0" w:color="auto"/>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Attended &lt;75% of Meetings</w:t>
            </w:r>
          </w:p>
        </w:tc>
        <w:tc>
          <w:tcPr>
            <w:tcW w:w="1157" w:type="dxa"/>
            <w:tcBorders>
              <w:top w:val="nil"/>
              <w:left w:val="nil"/>
              <w:bottom w:val="single" w:sz="4" w:space="0" w:color="auto"/>
              <w:right w:val="single" w:sz="8" w:space="0" w:color="auto"/>
            </w:tcBorders>
            <w:shd w:val="clear" w:color="000000" w:fill="FFFFF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nil"/>
              <w:left w:val="nil"/>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CoC Monitoring</w:t>
            </w:r>
          </w:p>
        </w:tc>
        <w:tc>
          <w:tcPr>
            <w:tcW w:w="4891" w:type="dxa"/>
            <w:gridSpan w:val="2"/>
            <w:tcBorders>
              <w:top w:val="single" w:sz="8" w:space="0" w:color="auto"/>
              <w:left w:val="nil"/>
              <w:bottom w:val="single" w:sz="4" w:space="0" w:color="auto"/>
              <w:right w:val="single" w:sz="8" w:space="0" w:color="000000"/>
            </w:tcBorders>
            <w:shd w:val="clear" w:color="000000" w:fill="FDE9D9"/>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20. Project Monitoring Results</w:t>
            </w:r>
          </w:p>
        </w:tc>
        <w:tc>
          <w:tcPr>
            <w:tcW w:w="1104" w:type="dxa"/>
            <w:vMerge w:val="restart"/>
            <w:tcBorders>
              <w:top w:val="single" w:sz="8" w:space="0" w:color="auto"/>
              <w:left w:val="nil"/>
              <w:bottom w:val="single" w:sz="8" w:space="0" w:color="000000"/>
              <w:right w:val="single" w:sz="8" w:space="0" w:color="auto"/>
            </w:tcBorders>
            <w:shd w:val="clear" w:color="000000" w:fill="FDE9D9"/>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single" w:sz="8" w:space="0" w:color="auto"/>
              <w:left w:val="nil"/>
              <w:bottom w:val="single" w:sz="8" w:space="0" w:color="000000"/>
              <w:right w:val="single" w:sz="8" w:space="0" w:color="auto"/>
            </w:tcBorders>
            <w:shd w:val="clear" w:color="000000" w:fill="FDE9D9"/>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CoC Monitoring Reports</w:t>
            </w:r>
          </w:p>
        </w:tc>
      </w:tr>
      <w:tr w:rsidR="000432EF" w:rsidRPr="000432EF" w:rsidTr="000432EF">
        <w:trPr>
          <w:trHeight w:val="600"/>
        </w:trPr>
        <w:tc>
          <w:tcPr>
            <w:tcW w:w="1297" w:type="dxa"/>
            <w:vMerge/>
            <w:tcBorders>
              <w:top w:val="single" w:sz="8" w:space="0" w:color="auto"/>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4" w:space="0" w:color="auto"/>
              <w:right w:val="single" w:sz="4" w:space="0" w:color="auto"/>
            </w:tcBorders>
            <w:shd w:val="clear" w:color="000000" w:fill="FDE9D9"/>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No unresolved monitoring issues or issues resolved</w:t>
            </w:r>
          </w:p>
        </w:tc>
        <w:tc>
          <w:tcPr>
            <w:tcW w:w="1157" w:type="dxa"/>
            <w:tcBorders>
              <w:top w:val="nil"/>
              <w:left w:val="nil"/>
              <w:bottom w:val="single" w:sz="4"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single" w:sz="8" w:space="0" w:color="auto"/>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single" w:sz="8" w:space="0" w:color="auto"/>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15"/>
        </w:trPr>
        <w:tc>
          <w:tcPr>
            <w:tcW w:w="1297" w:type="dxa"/>
            <w:vMerge/>
            <w:tcBorders>
              <w:top w:val="single" w:sz="8" w:space="0" w:color="auto"/>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8" w:space="0" w:color="auto"/>
              <w:right w:val="single" w:sz="4"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Unresolved monitoring issues</w:t>
            </w:r>
          </w:p>
        </w:tc>
        <w:tc>
          <w:tcPr>
            <w:tcW w:w="1157" w:type="dxa"/>
            <w:tcBorders>
              <w:top w:val="nil"/>
              <w:left w:val="nil"/>
              <w:bottom w:val="single" w:sz="8" w:space="0" w:color="auto"/>
              <w:right w:val="single" w:sz="8" w:space="0" w:color="auto"/>
            </w:tcBorders>
            <w:shd w:val="clear" w:color="000000" w:fill="FDE9D9"/>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=0 Points</w:t>
            </w:r>
          </w:p>
        </w:tc>
        <w:tc>
          <w:tcPr>
            <w:tcW w:w="1104" w:type="dxa"/>
            <w:vMerge/>
            <w:tcBorders>
              <w:top w:val="single" w:sz="8" w:space="0" w:color="auto"/>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single" w:sz="8" w:space="0" w:color="auto"/>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tcBorders>
              <w:top w:val="nil"/>
              <w:left w:val="single" w:sz="8" w:space="0" w:color="auto"/>
              <w:bottom w:val="nil"/>
              <w:right w:val="single" w:sz="8" w:space="0" w:color="auto"/>
            </w:tcBorders>
            <w:shd w:val="clear" w:color="000000" w:fill="EBF1DE"/>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Bonus</w:t>
            </w:r>
          </w:p>
        </w:tc>
        <w:tc>
          <w:tcPr>
            <w:tcW w:w="4891" w:type="dxa"/>
            <w:gridSpan w:val="2"/>
            <w:tcBorders>
              <w:top w:val="single" w:sz="8" w:space="0" w:color="auto"/>
              <w:left w:val="nil"/>
              <w:bottom w:val="single" w:sz="4" w:space="0" w:color="auto"/>
              <w:right w:val="single" w:sz="8" w:space="0" w:color="000000"/>
            </w:tcBorders>
            <w:shd w:val="clear" w:color="000000" w:fill="EBF1DE"/>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21. Occupancy/Average Daily Unit Utilization</w:t>
            </w:r>
          </w:p>
        </w:tc>
        <w:tc>
          <w:tcPr>
            <w:tcW w:w="1104" w:type="dxa"/>
            <w:vMerge w:val="restart"/>
            <w:tcBorders>
              <w:top w:val="nil"/>
              <w:left w:val="nil"/>
              <w:bottom w:val="nil"/>
              <w:right w:val="single" w:sz="8" w:space="0" w:color="auto"/>
            </w:tcBorders>
            <w:shd w:val="clear" w:color="000000" w:fill="EBF1DE"/>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nil"/>
              <w:right w:val="single" w:sz="8" w:space="0" w:color="auto"/>
            </w:tcBorders>
            <w:shd w:val="clear" w:color="000000" w:fill="EBF1DE"/>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See Question 2</w:t>
            </w:r>
          </w:p>
        </w:tc>
      </w:tr>
      <w:tr w:rsidR="000432EF" w:rsidRPr="000432EF" w:rsidTr="000432EF">
        <w:trPr>
          <w:trHeight w:val="315"/>
        </w:trPr>
        <w:tc>
          <w:tcPr>
            <w:tcW w:w="1297" w:type="dxa"/>
            <w:tcBorders>
              <w:top w:val="nil"/>
              <w:left w:val="single" w:sz="8" w:space="0" w:color="auto"/>
              <w:bottom w:val="nil"/>
              <w:right w:val="single" w:sz="8" w:space="0" w:color="auto"/>
            </w:tcBorders>
            <w:shd w:val="clear" w:color="000000" w:fill="EBF1DE"/>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 </w:t>
            </w:r>
          </w:p>
        </w:tc>
        <w:tc>
          <w:tcPr>
            <w:tcW w:w="3734" w:type="dxa"/>
            <w:tcBorders>
              <w:top w:val="nil"/>
              <w:left w:val="nil"/>
              <w:bottom w:val="single" w:sz="4" w:space="0" w:color="auto"/>
              <w:right w:val="single" w:sz="4" w:space="0" w:color="auto"/>
            </w:tcBorders>
            <w:shd w:val="clear" w:color="000000" w:fill="EBF1DE"/>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&gt;95%</w:t>
            </w:r>
          </w:p>
        </w:tc>
        <w:tc>
          <w:tcPr>
            <w:tcW w:w="1157" w:type="dxa"/>
            <w:tcBorders>
              <w:top w:val="nil"/>
              <w:left w:val="nil"/>
              <w:bottom w:val="single" w:sz="4" w:space="0" w:color="auto"/>
              <w:right w:val="single" w:sz="8" w:space="0" w:color="auto"/>
            </w:tcBorders>
            <w:shd w:val="clear" w:color="000000" w:fill="EBF1DE"/>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600"/>
        </w:trPr>
        <w:tc>
          <w:tcPr>
            <w:tcW w:w="1297" w:type="dxa"/>
            <w:tcBorders>
              <w:top w:val="nil"/>
              <w:left w:val="single" w:sz="8" w:space="0" w:color="auto"/>
              <w:bottom w:val="nil"/>
              <w:right w:val="single" w:sz="8" w:space="0" w:color="auto"/>
            </w:tcBorders>
            <w:shd w:val="clear" w:color="000000" w:fill="EBF1DE"/>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 </w:t>
            </w:r>
          </w:p>
        </w:tc>
        <w:tc>
          <w:tcPr>
            <w:tcW w:w="4891" w:type="dxa"/>
            <w:gridSpan w:val="2"/>
            <w:tcBorders>
              <w:top w:val="single" w:sz="8" w:space="0" w:color="auto"/>
              <w:left w:val="nil"/>
              <w:bottom w:val="single" w:sz="4" w:space="0" w:color="auto"/>
              <w:right w:val="single" w:sz="8" w:space="0" w:color="000000"/>
            </w:tcBorders>
            <w:shd w:val="clear" w:color="000000" w:fill="EBF1DE"/>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22. Participation in HOTHC General Meetings (Jan- Dec 2016)</w:t>
            </w:r>
          </w:p>
        </w:tc>
        <w:tc>
          <w:tcPr>
            <w:tcW w:w="1104" w:type="dxa"/>
            <w:vMerge w:val="restart"/>
            <w:tcBorders>
              <w:top w:val="single" w:sz="8" w:space="0" w:color="auto"/>
              <w:left w:val="nil"/>
              <w:bottom w:val="nil"/>
              <w:right w:val="single" w:sz="8" w:space="0" w:color="auto"/>
            </w:tcBorders>
            <w:shd w:val="clear" w:color="000000" w:fill="EBF1DE"/>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single" w:sz="8" w:space="0" w:color="auto"/>
              <w:left w:val="nil"/>
              <w:bottom w:val="nil"/>
              <w:right w:val="single" w:sz="8" w:space="0" w:color="auto"/>
            </w:tcBorders>
            <w:shd w:val="clear" w:color="000000" w:fill="EBF1DE"/>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Attendance Logs</w:t>
            </w:r>
          </w:p>
        </w:tc>
      </w:tr>
      <w:tr w:rsidR="000432EF" w:rsidRPr="000432EF" w:rsidTr="000432EF">
        <w:trPr>
          <w:trHeight w:val="315"/>
        </w:trPr>
        <w:tc>
          <w:tcPr>
            <w:tcW w:w="1297" w:type="dxa"/>
            <w:tcBorders>
              <w:top w:val="nil"/>
              <w:left w:val="single" w:sz="8" w:space="0" w:color="auto"/>
              <w:bottom w:val="nil"/>
              <w:right w:val="single" w:sz="8" w:space="0" w:color="auto"/>
            </w:tcBorders>
            <w:shd w:val="clear" w:color="000000" w:fill="EBF1DE"/>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 </w:t>
            </w:r>
          </w:p>
        </w:tc>
        <w:tc>
          <w:tcPr>
            <w:tcW w:w="3734" w:type="dxa"/>
            <w:tcBorders>
              <w:top w:val="nil"/>
              <w:left w:val="nil"/>
              <w:bottom w:val="nil"/>
              <w:right w:val="single" w:sz="4" w:space="0" w:color="auto"/>
            </w:tcBorders>
            <w:shd w:val="clear" w:color="000000" w:fill="EBF1DE"/>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&gt;8 Meetings a year</w:t>
            </w:r>
          </w:p>
        </w:tc>
        <w:tc>
          <w:tcPr>
            <w:tcW w:w="1157" w:type="dxa"/>
            <w:tcBorders>
              <w:top w:val="nil"/>
              <w:left w:val="nil"/>
              <w:bottom w:val="nil"/>
              <w:right w:val="single" w:sz="8" w:space="0" w:color="auto"/>
            </w:tcBorders>
            <w:shd w:val="clear" w:color="000000" w:fill="EBF1DE"/>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single" w:sz="8" w:space="0" w:color="auto"/>
              <w:left w:val="nil"/>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single" w:sz="8" w:space="0" w:color="auto"/>
              <w:left w:val="nil"/>
              <w:bottom w:val="nil"/>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tcBorders>
              <w:top w:val="nil"/>
              <w:left w:val="single" w:sz="8" w:space="0" w:color="auto"/>
              <w:bottom w:val="nil"/>
              <w:right w:val="single" w:sz="8" w:space="0" w:color="auto"/>
            </w:tcBorders>
            <w:shd w:val="clear" w:color="000000" w:fill="EBF1DE"/>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 </w:t>
            </w:r>
          </w:p>
        </w:tc>
        <w:tc>
          <w:tcPr>
            <w:tcW w:w="4891" w:type="dxa"/>
            <w:gridSpan w:val="2"/>
            <w:tcBorders>
              <w:top w:val="single" w:sz="8" w:space="0" w:color="auto"/>
              <w:left w:val="nil"/>
              <w:bottom w:val="single" w:sz="4" w:space="0" w:color="auto"/>
              <w:right w:val="single" w:sz="8" w:space="0" w:color="000000"/>
            </w:tcBorders>
            <w:shd w:val="clear" w:color="000000" w:fill="EBF1DE"/>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23. Two Consecutive Years of Expendature of Funds</w:t>
            </w:r>
          </w:p>
        </w:tc>
        <w:tc>
          <w:tcPr>
            <w:tcW w:w="1104" w:type="dxa"/>
            <w:vMerge w:val="restart"/>
            <w:tcBorders>
              <w:top w:val="single" w:sz="8" w:space="0" w:color="auto"/>
              <w:left w:val="single" w:sz="8" w:space="0" w:color="auto"/>
              <w:bottom w:val="single" w:sz="8" w:space="0" w:color="000000"/>
              <w:right w:val="single" w:sz="8" w:space="0" w:color="auto"/>
            </w:tcBorders>
            <w:shd w:val="clear" w:color="000000" w:fill="EBF1DE"/>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single" w:sz="8" w:space="0" w:color="auto"/>
              <w:left w:val="single" w:sz="8" w:space="0" w:color="auto"/>
              <w:bottom w:val="single" w:sz="8" w:space="0" w:color="000000"/>
              <w:right w:val="single" w:sz="8" w:space="0" w:color="auto"/>
            </w:tcBorders>
            <w:shd w:val="clear" w:color="000000" w:fill="EBF1DE"/>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LOCCS</w:t>
            </w:r>
          </w:p>
        </w:tc>
      </w:tr>
      <w:tr w:rsidR="000432EF" w:rsidRPr="000432EF" w:rsidTr="000432EF">
        <w:trPr>
          <w:trHeight w:val="315"/>
        </w:trPr>
        <w:tc>
          <w:tcPr>
            <w:tcW w:w="1297" w:type="dxa"/>
            <w:tcBorders>
              <w:top w:val="nil"/>
              <w:left w:val="single" w:sz="8" w:space="0" w:color="auto"/>
              <w:bottom w:val="nil"/>
              <w:right w:val="single" w:sz="8" w:space="0" w:color="auto"/>
            </w:tcBorders>
            <w:shd w:val="clear" w:color="000000" w:fill="EBF1DE"/>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 </w:t>
            </w:r>
          </w:p>
        </w:tc>
        <w:tc>
          <w:tcPr>
            <w:tcW w:w="3734" w:type="dxa"/>
            <w:tcBorders>
              <w:top w:val="nil"/>
              <w:left w:val="nil"/>
              <w:bottom w:val="single" w:sz="8" w:space="0" w:color="auto"/>
              <w:right w:val="nil"/>
            </w:tcBorders>
            <w:shd w:val="clear" w:color="000000" w:fill="EBF1DE"/>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95% or greater</w:t>
            </w:r>
          </w:p>
        </w:tc>
        <w:tc>
          <w:tcPr>
            <w:tcW w:w="1157" w:type="dxa"/>
            <w:tcBorders>
              <w:top w:val="nil"/>
              <w:left w:val="nil"/>
              <w:bottom w:val="single" w:sz="8" w:space="0" w:color="auto"/>
              <w:right w:val="single" w:sz="8" w:space="0" w:color="auto"/>
            </w:tcBorders>
            <w:shd w:val="clear" w:color="000000" w:fill="EBF1DE"/>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single" w:sz="8" w:space="0" w:color="auto"/>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single" w:sz="8" w:space="0" w:color="auto"/>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300"/>
        </w:trPr>
        <w:tc>
          <w:tcPr>
            <w:tcW w:w="1297" w:type="dxa"/>
            <w:vMerge w:val="restart"/>
            <w:tcBorders>
              <w:top w:val="single" w:sz="8" w:space="0" w:color="auto"/>
              <w:left w:val="single" w:sz="8" w:space="0" w:color="auto"/>
              <w:bottom w:val="single" w:sz="8" w:space="0" w:color="000000"/>
              <w:right w:val="single" w:sz="8" w:space="0" w:color="auto"/>
            </w:tcBorders>
            <w:shd w:val="clear" w:color="000000" w:fill="F2DCDB"/>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Penalty</w:t>
            </w:r>
          </w:p>
        </w:tc>
        <w:tc>
          <w:tcPr>
            <w:tcW w:w="4891" w:type="dxa"/>
            <w:gridSpan w:val="2"/>
            <w:tcBorders>
              <w:top w:val="single" w:sz="8" w:space="0" w:color="auto"/>
              <w:left w:val="nil"/>
              <w:bottom w:val="single" w:sz="4" w:space="0" w:color="auto"/>
              <w:right w:val="single" w:sz="8" w:space="0" w:color="000000"/>
            </w:tcBorders>
            <w:shd w:val="clear" w:color="000000" w:fill="F2DCDB"/>
            <w:hideMark/>
          </w:tcPr>
          <w:p w:rsidR="000432EF" w:rsidRPr="000432EF" w:rsidRDefault="000432EF" w:rsidP="000432EF">
            <w:pPr>
              <w:spacing w:after="0" w:line="240" w:lineRule="auto"/>
              <w:rPr>
                <w:rFonts w:ascii="Calibri" w:eastAsia="Times New Roman" w:hAnsi="Calibri" w:cs="Times New Roman"/>
                <w:b/>
                <w:bCs/>
                <w:color w:val="000000"/>
              </w:rPr>
            </w:pPr>
            <w:r w:rsidRPr="000432EF">
              <w:rPr>
                <w:rFonts w:ascii="Calibri" w:eastAsia="Times New Roman" w:hAnsi="Calibri" w:cs="Times New Roman"/>
                <w:b/>
                <w:bCs/>
                <w:color w:val="000000"/>
              </w:rPr>
              <w:t>24. Application Turned in After Due Date</w:t>
            </w:r>
          </w:p>
        </w:tc>
        <w:tc>
          <w:tcPr>
            <w:tcW w:w="1104" w:type="dxa"/>
            <w:vMerge w:val="restart"/>
            <w:tcBorders>
              <w:top w:val="nil"/>
              <w:left w:val="nil"/>
              <w:bottom w:val="single" w:sz="8" w:space="0" w:color="000000"/>
              <w:right w:val="single" w:sz="8" w:space="0" w:color="auto"/>
            </w:tcBorders>
            <w:shd w:val="clear" w:color="000000" w:fill="F2DCDB"/>
            <w:noWrap/>
            <w:hideMark/>
          </w:tcPr>
          <w:p w:rsidR="000432EF" w:rsidRPr="000432EF" w:rsidRDefault="000432EF" w:rsidP="000432EF">
            <w:pPr>
              <w:spacing w:after="0" w:line="240" w:lineRule="auto"/>
              <w:jc w:val="center"/>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vMerge w:val="restart"/>
            <w:tcBorders>
              <w:top w:val="nil"/>
              <w:left w:val="nil"/>
              <w:bottom w:val="single" w:sz="8" w:space="0" w:color="000000"/>
              <w:right w:val="single" w:sz="8" w:space="0" w:color="auto"/>
            </w:tcBorders>
            <w:shd w:val="clear" w:color="000000" w:fill="F2DCDB"/>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Submission Date in E-snaps</w:t>
            </w:r>
          </w:p>
        </w:tc>
      </w:tr>
      <w:tr w:rsidR="000432EF" w:rsidRPr="000432EF" w:rsidTr="000432EF">
        <w:trPr>
          <w:trHeight w:val="315"/>
        </w:trPr>
        <w:tc>
          <w:tcPr>
            <w:tcW w:w="1297" w:type="dxa"/>
            <w:vMerge/>
            <w:tcBorders>
              <w:top w:val="single" w:sz="8" w:space="0" w:color="auto"/>
              <w:left w:val="single" w:sz="8" w:space="0" w:color="auto"/>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b/>
                <w:bCs/>
                <w:color w:val="000000"/>
              </w:rPr>
            </w:pPr>
          </w:p>
        </w:tc>
        <w:tc>
          <w:tcPr>
            <w:tcW w:w="3734" w:type="dxa"/>
            <w:tcBorders>
              <w:top w:val="nil"/>
              <w:left w:val="nil"/>
              <w:bottom w:val="single" w:sz="8" w:space="0" w:color="auto"/>
              <w:right w:val="single" w:sz="4" w:space="0" w:color="auto"/>
            </w:tcBorders>
            <w:shd w:val="clear" w:color="000000" w:fill="F2DCDB"/>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If turned in late, penalty of 10 points</w:t>
            </w:r>
          </w:p>
        </w:tc>
        <w:tc>
          <w:tcPr>
            <w:tcW w:w="1157" w:type="dxa"/>
            <w:tcBorders>
              <w:top w:val="nil"/>
              <w:left w:val="nil"/>
              <w:bottom w:val="single" w:sz="8" w:space="0" w:color="auto"/>
              <w:right w:val="single" w:sz="8" w:space="0" w:color="auto"/>
            </w:tcBorders>
            <w:shd w:val="clear" w:color="000000" w:fill="F2DCDB"/>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=-10 Points</w:t>
            </w:r>
          </w:p>
        </w:tc>
        <w:tc>
          <w:tcPr>
            <w:tcW w:w="1104"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c>
          <w:tcPr>
            <w:tcW w:w="2188" w:type="dxa"/>
            <w:vMerge/>
            <w:tcBorders>
              <w:top w:val="nil"/>
              <w:left w:val="nil"/>
              <w:bottom w:val="single" w:sz="8" w:space="0" w:color="000000"/>
              <w:right w:val="single" w:sz="8" w:space="0" w:color="auto"/>
            </w:tcBorders>
            <w:vAlign w:val="center"/>
            <w:hideMark/>
          </w:tcPr>
          <w:p w:rsidR="000432EF" w:rsidRPr="000432EF" w:rsidRDefault="000432EF" w:rsidP="000432EF">
            <w:pPr>
              <w:spacing w:after="0" w:line="240" w:lineRule="auto"/>
              <w:rPr>
                <w:rFonts w:ascii="Calibri" w:eastAsia="Times New Roman" w:hAnsi="Calibri" w:cs="Times New Roman"/>
                <w:color w:val="000000"/>
              </w:rPr>
            </w:pPr>
          </w:p>
        </w:tc>
      </w:tr>
      <w:tr w:rsidR="000432EF" w:rsidRPr="000432EF" w:rsidTr="000432EF">
        <w:trPr>
          <w:trHeight w:val="630"/>
        </w:trPr>
        <w:tc>
          <w:tcPr>
            <w:tcW w:w="6188" w:type="dxa"/>
            <w:gridSpan w:val="3"/>
            <w:tcBorders>
              <w:top w:val="single" w:sz="8" w:space="0" w:color="auto"/>
              <w:left w:val="single" w:sz="8" w:space="0" w:color="auto"/>
              <w:bottom w:val="single" w:sz="8" w:space="0" w:color="auto"/>
              <w:right w:val="single" w:sz="8" w:space="0" w:color="000000"/>
            </w:tcBorders>
            <w:shd w:val="clear" w:color="000000" w:fill="FABF8F"/>
            <w:vAlign w:val="center"/>
            <w:hideMark/>
          </w:tcPr>
          <w:p w:rsidR="000432EF" w:rsidRPr="000432EF" w:rsidRDefault="000432EF" w:rsidP="000432EF">
            <w:pPr>
              <w:spacing w:after="0" w:line="240" w:lineRule="auto"/>
              <w:rPr>
                <w:rFonts w:ascii="Calibri" w:eastAsia="Times New Roman" w:hAnsi="Calibri" w:cs="Times New Roman"/>
                <w:b/>
                <w:bCs/>
                <w:color w:val="000000"/>
                <w:sz w:val="28"/>
                <w:szCs w:val="28"/>
              </w:rPr>
            </w:pPr>
            <w:r w:rsidRPr="000432EF">
              <w:rPr>
                <w:rFonts w:ascii="Calibri" w:eastAsia="Times New Roman" w:hAnsi="Calibri" w:cs="Times New Roman"/>
                <w:b/>
                <w:bCs/>
                <w:color w:val="000000"/>
                <w:sz w:val="28"/>
                <w:szCs w:val="28"/>
              </w:rPr>
              <w:t>Total Score</w:t>
            </w:r>
          </w:p>
        </w:tc>
        <w:tc>
          <w:tcPr>
            <w:tcW w:w="1104" w:type="dxa"/>
            <w:tcBorders>
              <w:top w:val="nil"/>
              <w:left w:val="nil"/>
              <w:bottom w:val="single" w:sz="8" w:space="0" w:color="auto"/>
              <w:right w:val="single" w:sz="8" w:space="0" w:color="auto"/>
            </w:tcBorders>
            <w:shd w:val="clear" w:color="000000" w:fill="FABF8F"/>
            <w:noWrap/>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 </w:t>
            </w:r>
          </w:p>
        </w:tc>
        <w:tc>
          <w:tcPr>
            <w:tcW w:w="2188" w:type="dxa"/>
            <w:tcBorders>
              <w:top w:val="nil"/>
              <w:left w:val="nil"/>
              <w:bottom w:val="single" w:sz="8" w:space="0" w:color="auto"/>
              <w:right w:val="single" w:sz="8" w:space="0" w:color="auto"/>
            </w:tcBorders>
            <w:shd w:val="clear" w:color="000000" w:fill="FABF8F"/>
            <w:noWrap/>
            <w:vAlign w:val="bottom"/>
            <w:hideMark/>
          </w:tcPr>
          <w:p w:rsidR="000432EF" w:rsidRPr="000432EF" w:rsidRDefault="000432EF" w:rsidP="000432EF">
            <w:pPr>
              <w:spacing w:after="0" w:line="240" w:lineRule="auto"/>
              <w:rPr>
                <w:rFonts w:ascii="Calibri" w:eastAsia="Times New Roman" w:hAnsi="Calibri" w:cs="Times New Roman"/>
                <w:color w:val="000000"/>
              </w:rPr>
            </w:pPr>
            <w:r w:rsidRPr="000432EF">
              <w:rPr>
                <w:rFonts w:ascii="Calibri" w:eastAsia="Times New Roman" w:hAnsi="Calibri" w:cs="Times New Roman"/>
                <w:color w:val="000000"/>
              </w:rPr>
              <w:t> </w:t>
            </w:r>
          </w:p>
        </w:tc>
      </w:tr>
    </w:tbl>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Pr="00A262D2" w:rsidRDefault="000432EF" w:rsidP="000432EF">
      <w:pPr>
        <w:pStyle w:val="NoSpacing"/>
        <w:jc w:val="center"/>
        <w:rPr>
          <w:b/>
          <w:sz w:val="28"/>
          <w:szCs w:val="28"/>
        </w:rPr>
      </w:pPr>
      <w:r w:rsidRPr="00A262D2">
        <w:rPr>
          <w:b/>
          <w:sz w:val="28"/>
          <w:szCs w:val="28"/>
        </w:rPr>
        <w:t>Heart of Texas Homeless Coalition 2017 Renewal CoC Project Evaluation</w:t>
      </w:r>
    </w:p>
    <w:p w:rsidR="000432EF" w:rsidRPr="00A262D2" w:rsidRDefault="000432EF" w:rsidP="000432EF">
      <w:pPr>
        <w:pStyle w:val="NoSpacing"/>
      </w:pPr>
    </w:p>
    <w:p w:rsidR="000432EF" w:rsidRDefault="000432EF" w:rsidP="000432EF">
      <w:pPr>
        <w:pStyle w:val="NoSpacing"/>
      </w:pPr>
      <w:r w:rsidRPr="00A262D2">
        <w:t xml:space="preserve">This tool will be used to review, score, and rank all renewal CoC projects as part of the 2017 CoC Competition. The priorities that will be reviewed are those listed by HUD in </w:t>
      </w:r>
      <w:r>
        <w:t>the FY 2017</w:t>
      </w:r>
      <w:r w:rsidRPr="00A262D2">
        <w:t xml:space="preserve"> NOFA,</w:t>
      </w:r>
      <w:r>
        <w:t xml:space="preserve"> and include:</w:t>
      </w:r>
    </w:p>
    <w:p w:rsidR="000432EF" w:rsidRDefault="000432EF" w:rsidP="000432EF">
      <w:pPr>
        <w:pStyle w:val="NoSpacing"/>
      </w:pPr>
    </w:p>
    <w:tbl>
      <w:tblPr>
        <w:tblW w:w="0" w:type="auto"/>
        <w:tblLayout w:type="fixed"/>
        <w:tblLook w:val="0000" w:firstRow="0" w:lastRow="0" w:firstColumn="0" w:lastColumn="0" w:noHBand="0" w:noVBand="0"/>
      </w:tblPr>
      <w:tblGrid>
        <w:gridCol w:w="10908"/>
      </w:tblGrid>
      <w:tr w:rsidR="000432EF" w:rsidRPr="0025676B" w:rsidTr="00CA674F">
        <w:trPr>
          <w:trHeight w:val="1284"/>
        </w:trPr>
        <w:tc>
          <w:tcPr>
            <w:tcW w:w="10908" w:type="dxa"/>
          </w:tcPr>
          <w:p w:rsidR="000432EF" w:rsidRDefault="000432EF" w:rsidP="000432EF">
            <w:pPr>
              <w:pStyle w:val="NoSpacing"/>
              <w:numPr>
                <w:ilvl w:val="0"/>
                <w:numId w:val="6"/>
              </w:numPr>
            </w:pPr>
            <w:r w:rsidRPr="0025676B">
              <w:t xml:space="preserve">Ending homelessness for all persons. </w:t>
            </w:r>
          </w:p>
          <w:p w:rsidR="000432EF" w:rsidRDefault="000432EF" w:rsidP="000432EF">
            <w:pPr>
              <w:pStyle w:val="NoSpacing"/>
              <w:numPr>
                <w:ilvl w:val="0"/>
                <w:numId w:val="6"/>
              </w:numPr>
            </w:pPr>
            <w:r w:rsidRPr="0025676B">
              <w:t>Creating a systemic response to homelessness.</w:t>
            </w:r>
          </w:p>
          <w:p w:rsidR="000432EF" w:rsidRDefault="000432EF" w:rsidP="000432EF">
            <w:pPr>
              <w:pStyle w:val="NoSpacing"/>
              <w:numPr>
                <w:ilvl w:val="0"/>
                <w:numId w:val="6"/>
              </w:numPr>
            </w:pPr>
            <w:r w:rsidRPr="0025676B">
              <w:t>Strategically allocating and using resources.</w:t>
            </w:r>
          </w:p>
          <w:p w:rsidR="000432EF" w:rsidRPr="0025676B" w:rsidRDefault="000432EF" w:rsidP="000432EF">
            <w:pPr>
              <w:pStyle w:val="NoSpacing"/>
              <w:numPr>
                <w:ilvl w:val="0"/>
                <w:numId w:val="6"/>
              </w:numPr>
            </w:pPr>
            <w:r w:rsidRPr="0025676B">
              <w:t xml:space="preserve">Using a Housing First approach. </w:t>
            </w:r>
          </w:p>
        </w:tc>
      </w:tr>
    </w:tbl>
    <w:p w:rsidR="000432EF" w:rsidRDefault="000432EF" w:rsidP="000432EF">
      <w:pPr>
        <w:pStyle w:val="NoSpacing"/>
        <w:rPr>
          <w:b/>
        </w:rPr>
      </w:pPr>
      <w:r w:rsidRPr="00065881">
        <w:rPr>
          <w:b/>
        </w:rPr>
        <w:t>Renewal Project Evaluation</w:t>
      </w:r>
    </w:p>
    <w:p w:rsidR="000432EF" w:rsidRDefault="000432EF" w:rsidP="000432EF">
      <w:pPr>
        <w:pStyle w:val="NoSpacing"/>
      </w:pPr>
    </w:p>
    <w:p w:rsidR="000432EF" w:rsidRDefault="000432EF" w:rsidP="000432EF">
      <w:pPr>
        <w:pStyle w:val="NoSpacing"/>
      </w:pPr>
      <w:r>
        <w:t>The CoC Scoring and Ranking Committee and the CoC/HMIS Leads will complete a Renewal Project Evaluation Tool for each renewing CoC project. Projects failing to submit required information for a priority area will receive zero points for that priority area. After completing all Renewal Project Evaluation Tools, the CoC Scoring and Ranking Committee will rank all renewal projects according to their evaluation score – projects scoring highest are ranked best, those scoring lowest are ranked at the bottom.</w:t>
      </w:r>
    </w:p>
    <w:p w:rsidR="000432EF" w:rsidRDefault="000432EF" w:rsidP="000432EF">
      <w:pPr>
        <w:pStyle w:val="NoSpacing"/>
      </w:pPr>
    </w:p>
    <w:p w:rsidR="000432EF" w:rsidRDefault="000432EF" w:rsidP="000432EF">
      <w:pPr>
        <w:pStyle w:val="NoSpacing"/>
        <w:rPr>
          <w:b/>
        </w:rPr>
      </w:pPr>
      <w:r w:rsidRPr="00663548">
        <w:rPr>
          <w:b/>
        </w:rPr>
        <w:t>Data Sources</w:t>
      </w:r>
    </w:p>
    <w:p w:rsidR="000432EF" w:rsidRPr="00663548" w:rsidRDefault="000432EF" w:rsidP="000432EF">
      <w:pPr>
        <w:pStyle w:val="NoSpacing"/>
        <w:rPr>
          <w:b/>
        </w:rPr>
      </w:pPr>
    </w:p>
    <w:p w:rsidR="000432EF" w:rsidRDefault="000432EF" w:rsidP="000432EF">
      <w:pPr>
        <w:pStyle w:val="NoSpacing"/>
      </w:pPr>
      <w:r>
        <w:t>While some data will be collected from narratives such as the project description, the majority of the data used in project evaluation comes from projects’ designated Annual Performance Reports (APRs) for this competition. The Scoring and Ranking Committee will also consider Point-In-Time (PIT) Count data and Housing Inventory Count (HIC) data submission. Some information is obtained directly from providers or from SAGE HIMIS. Data from these sources is verified by HUD whenever possible:</w:t>
      </w:r>
    </w:p>
    <w:p w:rsidR="000432EF" w:rsidRDefault="000432EF" w:rsidP="000432EF">
      <w:pPr>
        <w:pStyle w:val="NoSpacing"/>
      </w:pPr>
    </w:p>
    <w:p w:rsidR="000432EF" w:rsidRDefault="000432EF" w:rsidP="000432EF">
      <w:pPr>
        <w:pStyle w:val="NoSpacing"/>
        <w:numPr>
          <w:ilvl w:val="0"/>
          <w:numId w:val="11"/>
        </w:numPr>
      </w:pPr>
      <w:r>
        <w:t>HUD audit/monitoring findings documentation;</w:t>
      </w:r>
    </w:p>
    <w:p w:rsidR="000432EF" w:rsidRDefault="000432EF" w:rsidP="000432EF">
      <w:pPr>
        <w:pStyle w:val="NoSpacing"/>
        <w:numPr>
          <w:ilvl w:val="0"/>
          <w:numId w:val="12"/>
        </w:numPr>
      </w:pPr>
      <w:r>
        <w:t>Information on timely draws and unspent funds from each applicant’s Line of Credit Control System (LOCCS) accounts;</w:t>
      </w:r>
    </w:p>
    <w:p w:rsidR="000432EF" w:rsidRDefault="000432EF" w:rsidP="000432EF">
      <w:pPr>
        <w:pStyle w:val="NoSpacing"/>
        <w:numPr>
          <w:ilvl w:val="0"/>
          <w:numId w:val="11"/>
        </w:numPr>
      </w:pPr>
      <w:r>
        <w:t>Information on project matching funds; and</w:t>
      </w:r>
    </w:p>
    <w:p w:rsidR="000432EF" w:rsidRDefault="000432EF" w:rsidP="000432EF">
      <w:pPr>
        <w:pStyle w:val="NoSpacing"/>
        <w:numPr>
          <w:ilvl w:val="0"/>
          <w:numId w:val="11"/>
        </w:numPr>
      </w:pPr>
      <w:r>
        <w:t>Information collected by HUD field offices as shown through SAGE HMIS, including total LOCCS draw amounts.</w:t>
      </w:r>
    </w:p>
    <w:p w:rsidR="000432EF" w:rsidRDefault="000432EF" w:rsidP="000432EF">
      <w:pPr>
        <w:pStyle w:val="NoSpacing"/>
      </w:pPr>
    </w:p>
    <w:p w:rsidR="000432EF" w:rsidRPr="00065881" w:rsidRDefault="000432EF" w:rsidP="000432EF">
      <w:pPr>
        <w:pStyle w:val="NoSpacing"/>
        <w:rPr>
          <w:b/>
        </w:rPr>
      </w:pPr>
      <w:r w:rsidRPr="00065881">
        <w:rPr>
          <w:b/>
        </w:rPr>
        <w:t>Renewal Project Ranking and Funding Recommendations</w:t>
      </w:r>
    </w:p>
    <w:p w:rsidR="000432EF" w:rsidRDefault="000432EF" w:rsidP="000432EF">
      <w:pPr>
        <w:pStyle w:val="NoSpacing"/>
      </w:pPr>
    </w:p>
    <w:p w:rsidR="000432EF" w:rsidRDefault="000432EF" w:rsidP="000432EF">
      <w:pPr>
        <w:pStyle w:val="NoSpacing"/>
      </w:pPr>
      <w:r>
        <w:t>The CoC Lead Agency for the Heart of Texas Homeless Coalition accepts all qualifying applications. Qualifying projects are then submitted to the CoC Scoring and Ranking Committee for ranking recommendations and final approval for the CoC Competition Priority Listing.</w:t>
      </w:r>
    </w:p>
    <w:p w:rsidR="000432EF" w:rsidRDefault="000432EF" w:rsidP="000432EF">
      <w:pPr>
        <w:pStyle w:val="NoSpacing"/>
      </w:pPr>
    </w:p>
    <w:p w:rsidR="000432EF" w:rsidRPr="00065881" w:rsidRDefault="000432EF" w:rsidP="000432EF">
      <w:pPr>
        <w:pStyle w:val="NoSpacing"/>
        <w:rPr>
          <w:b/>
        </w:rPr>
      </w:pPr>
      <w:r w:rsidRPr="00065881">
        <w:rPr>
          <w:b/>
        </w:rPr>
        <w:t>Reallocation Process and Procedure</w:t>
      </w:r>
    </w:p>
    <w:p w:rsidR="000432EF" w:rsidRDefault="000432EF" w:rsidP="000432EF">
      <w:pPr>
        <w:pStyle w:val="NoSpacing"/>
      </w:pPr>
    </w:p>
    <w:p w:rsidR="000432EF" w:rsidRDefault="000432EF" w:rsidP="000432EF">
      <w:pPr>
        <w:pStyle w:val="NoSpacing"/>
      </w:pPr>
      <w:r>
        <w:t>The CoC Board understands and acknowledges that through the reallocation process very valuable projects may be defunded. The CoC Board is striving to develop a reallocation process that will ensure that projects submitted in the CoC Consolidated Application best align with the HUD CoC funding mechanism’s priorities and contribute to a competitive application that collaboratively secures these dollars to improve our community. The CoC Board seeks to make data-driven decisions based on information gathered from the assessment tool and other HUD recommended data tools. This does not mean that the CoC Board does not value reallocated projects or the diversity of programs in our community. Rather, the CoC Board anticipates that most reallocated projects will see funders with priorities better suited to cultivate the unique contributions these projects make to our community that HUD’s CoC funding mechanism is not designed to recognize.</w:t>
      </w:r>
    </w:p>
    <w:p w:rsidR="000432EF" w:rsidRDefault="000432EF" w:rsidP="000432EF">
      <w:pPr>
        <w:pStyle w:val="NoSpacing"/>
        <w:rPr>
          <w:sz w:val="24"/>
          <w:szCs w:val="24"/>
        </w:rPr>
      </w:pPr>
    </w:p>
    <w:p w:rsidR="000432EF" w:rsidRDefault="000432EF" w:rsidP="000432EF">
      <w:pPr>
        <w:pStyle w:val="NoSpacing"/>
        <w:rPr>
          <w:sz w:val="24"/>
          <w:szCs w:val="24"/>
        </w:rPr>
      </w:pPr>
    </w:p>
    <w:p w:rsidR="000432EF" w:rsidRDefault="000432EF"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5577E6" w:rsidRDefault="005577E6" w:rsidP="000432EF">
      <w:pPr>
        <w:pStyle w:val="NoSpacing"/>
        <w:rPr>
          <w:sz w:val="24"/>
          <w:szCs w:val="24"/>
        </w:rPr>
      </w:pPr>
    </w:p>
    <w:p w:rsidR="000432EF" w:rsidRDefault="000432EF" w:rsidP="000432EF">
      <w:pPr>
        <w:pStyle w:val="NoSpacing"/>
        <w:rPr>
          <w:sz w:val="24"/>
          <w:szCs w:val="24"/>
        </w:rPr>
      </w:pPr>
    </w:p>
    <w:p w:rsidR="000432EF" w:rsidRPr="0025676B" w:rsidRDefault="000432EF" w:rsidP="000432EF">
      <w:pPr>
        <w:pStyle w:val="NoSpacing"/>
        <w:jc w:val="center"/>
        <w:rPr>
          <w:b/>
          <w:sz w:val="28"/>
          <w:szCs w:val="28"/>
        </w:rPr>
      </w:pPr>
      <w:r>
        <w:rPr>
          <w:b/>
          <w:sz w:val="28"/>
          <w:szCs w:val="28"/>
        </w:rPr>
        <w:t xml:space="preserve">HUD </w:t>
      </w:r>
      <w:r w:rsidRPr="0025676B">
        <w:rPr>
          <w:b/>
          <w:sz w:val="28"/>
          <w:szCs w:val="28"/>
        </w:rPr>
        <w:t>Priority List</w:t>
      </w:r>
    </w:p>
    <w:p w:rsidR="000432EF" w:rsidRPr="00663548" w:rsidRDefault="000432EF" w:rsidP="000432EF">
      <w:pPr>
        <w:autoSpaceDE w:val="0"/>
        <w:autoSpaceDN w:val="0"/>
        <w:adjustRightInd w:val="0"/>
        <w:spacing w:after="0" w:line="240" w:lineRule="auto"/>
        <w:rPr>
          <w:rFonts w:cs="Times New Roman"/>
          <w:color w:val="000000"/>
        </w:rPr>
      </w:pPr>
    </w:p>
    <w:p w:rsidR="000432EF" w:rsidRPr="00B8115C" w:rsidRDefault="000432EF" w:rsidP="000432EF">
      <w:pPr>
        <w:pStyle w:val="NoSpacing"/>
        <w:jc w:val="center"/>
        <w:rPr>
          <w:sz w:val="24"/>
          <w:szCs w:val="24"/>
        </w:rPr>
      </w:pPr>
      <w:r w:rsidRPr="00B8115C">
        <w:rPr>
          <w:sz w:val="24"/>
          <w:szCs w:val="24"/>
        </w:rPr>
        <w:t>If the box is filled in, the organization is given credit for this priority. If blank, no credit is given.</w:t>
      </w:r>
    </w:p>
    <w:p w:rsidR="000432EF" w:rsidRPr="00B8115C" w:rsidRDefault="000432EF" w:rsidP="000432EF">
      <w:pPr>
        <w:pStyle w:val="NoSpacing"/>
        <w:rPr>
          <w:b/>
          <w:sz w:val="24"/>
          <w:szCs w:val="24"/>
        </w:rPr>
      </w:pPr>
    </w:p>
    <w:tbl>
      <w:tblPr>
        <w:tblStyle w:val="TableGrid"/>
        <w:tblW w:w="10808" w:type="dxa"/>
        <w:tblLook w:val="04A0" w:firstRow="1" w:lastRow="0" w:firstColumn="1" w:lastColumn="0" w:noHBand="0" w:noVBand="1"/>
      </w:tblPr>
      <w:tblGrid>
        <w:gridCol w:w="457"/>
        <w:gridCol w:w="10351"/>
      </w:tblGrid>
      <w:tr w:rsidR="000432EF" w:rsidRPr="00B8115C" w:rsidTr="00CA674F">
        <w:sdt>
          <w:sdtPr>
            <w:rPr>
              <w:b/>
              <w:sz w:val="24"/>
              <w:szCs w:val="24"/>
            </w:rPr>
            <w:id w:val="-1524468273"/>
            <w14:checkbox>
              <w14:checked w14:val="0"/>
              <w14:checkedState w14:val="2612" w14:font="MS Gothic"/>
              <w14:uncheckedState w14:val="2610" w14:font="MS Gothic"/>
            </w14:checkbox>
          </w:sdtPr>
          <w:sdtEndPr/>
          <w:sdtContent>
            <w:tc>
              <w:tcPr>
                <w:tcW w:w="0" w:type="auto"/>
                <w:shd w:val="clear" w:color="auto" w:fill="E2EFD9" w:themeFill="accent6" w:themeFillTint="33"/>
              </w:tcPr>
              <w:p w:rsidR="000432EF" w:rsidRPr="00B8115C" w:rsidRDefault="000432EF" w:rsidP="00CA674F">
                <w:pPr>
                  <w:pStyle w:val="NoSpacing"/>
                  <w:rPr>
                    <w:b/>
                    <w:sz w:val="24"/>
                    <w:szCs w:val="24"/>
                  </w:rPr>
                </w:pPr>
                <w:r w:rsidRPr="00B8115C">
                  <w:rPr>
                    <w:rFonts w:ascii="MS Gothic" w:eastAsia="MS Gothic" w:hAnsi="MS Gothic" w:cs="MS Gothic" w:hint="eastAsia"/>
                    <w:b/>
                    <w:sz w:val="24"/>
                    <w:szCs w:val="24"/>
                  </w:rPr>
                  <w:t>☐</w:t>
                </w:r>
              </w:p>
            </w:tc>
          </w:sdtContent>
        </w:sdt>
        <w:tc>
          <w:tcPr>
            <w:tcW w:w="0" w:type="auto"/>
            <w:shd w:val="clear" w:color="auto" w:fill="E2EFD9" w:themeFill="accent6" w:themeFillTint="33"/>
          </w:tcPr>
          <w:p w:rsidR="000432EF" w:rsidRPr="00B8115C" w:rsidRDefault="000432EF" w:rsidP="005577E6">
            <w:pPr>
              <w:pStyle w:val="NoSpacing"/>
              <w:ind w:right="-208"/>
              <w:rPr>
                <w:b/>
                <w:sz w:val="24"/>
                <w:szCs w:val="24"/>
              </w:rPr>
            </w:pPr>
            <w:r w:rsidRPr="00B8115C">
              <w:rPr>
                <w:b/>
                <w:sz w:val="24"/>
                <w:szCs w:val="24"/>
              </w:rPr>
              <w:t>Ending homelessness for all persons</w:t>
            </w:r>
            <w:r w:rsidRPr="00B8115C">
              <w:rPr>
                <w:sz w:val="24"/>
                <w:szCs w:val="24"/>
              </w:rPr>
              <w:t>.</w:t>
            </w:r>
          </w:p>
        </w:tc>
      </w:tr>
      <w:tr w:rsidR="000432EF" w:rsidRPr="00B8115C" w:rsidTr="00CA674F">
        <w:tc>
          <w:tcPr>
            <w:tcW w:w="0" w:type="auto"/>
            <w:shd w:val="clear" w:color="auto" w:fill="FFFFFF" w:themeFill="background1"/>
          </w:tcPr>
          <w:p w:rsidR="000432EF" w:rsidRPr="00B8115C" w:rsidRDefault="000432EF" w:rsidP="00CA674F">
            <w:pPr>
              <w:pStyle w:val="NoSpacing"/>
              <w:rPr>
                <w:b/>
                <w:sz w:val="24"/>
                <w:szCs w:val="24"/>
              </w:rPr>
            </w:pPr>
          </w:p>
        </w:tc>
        <w:tc>
          <w:tcPr>
            <w:tcW w:w="0" w:type="auto"/>
            <w:shd w:val="clear" w:color="auto" w:fill="FFFFFF" w:themeFill="background1"/>
          </w:tcPr>
          <w:p w:rsidR="000432EF" w:rsidRPr="00B8115C" w:rsidRDefault="000432EF" w:rsidP="00CA674F">
            <w:pPr>
              <w:pStyle w:val="NoSpacing"/>
              <w:rPr>
                <w:sz w:val="24"/>
                <w:szCs w:val="24"/>
              </w:rPr>
            </w:pPr>
          </w:p>
          <w:tbl>
            <w:tblPr>
              <w:tblW w:w="0" w:type="auto"/>
              <w:tblBorders>
                <w:top w:val="nil"/>
                <w:left w:val="nil"/>
                <w:bottom w:val="nil"/>
                <w:right w:val="nil"/>
              </w:tblBorders>
              <w:tblLook w:val="0000" w:firstRow="0" w:lastRow="0" w:firstColumn="0" w:lastColumn="0" w:noHBand="0" w:noVBand="0"/>
            </w:tblPr>
            <w:tblGrid>
              <w:gridCol w:w="10135"/>
            </w:tblGrid>
            <w:tr w:rsidR="000432EF" w:rsidRPr="00B8115C" w:rsidTr="00CA674F">
              <w:trPr>
                <w:trHeight w:val="1541"/>
              </w:trPr>
              <w:tc>
                <w:tcPr>
                  <w:tcW w:w="0" w:type="auto"/>
                </w:tcPr>
                <w:p w:rsidR="000432EF" w:rsidRDefault="000432EF" w:rsidP="000432EF">
                  <w:pPr>
                    <w:pStyle w:val="NoSpacing"/>
                    <w:numPr>
                      <w:ilvl w:val="0"/>
                      <w:numId w:val="7"/>
                    </w:numPr>
                    <w:rPr>
                      <w:sz w:val="24"/>
                      <w:szCs w:val="24"/>
                    </w:rPr>
                  </w:pPr>
                  <w:r>
                    <w:rPr>
                      <w:sz w:val="24"/>
                      <w:szCs w:val="24"/>
                    </w:rPr>
                    <w:t>S</w:t>
                  </w:r>
                  <w:r w:rsidRPr="00B8115C">
                    <w:rPr>
                      <w:sz w:val="24"/>
                      <w:szCs w:val="24"/>
                    </w:rPr>
                    <w:t>hould identify, engage, and effectively serve all persons experiencing homelessness.</w:t>
                  </w:r>
                </w:p>
                <w:p w:rsidR="000432EF" w:rsidRDefault="000432EF" w:rsidP="000432EF">
                  <w:pPr>
                    <w:pStyle w:val="NoSpacing"/>
                    <w:numPr>
                      <w:ilvl w:val="0"/>
                      <w:numId w:val="7"/>
                    </w:numPr>
                    <w:rPr>
                      <w:sz w:val="24"/>
                      <w:szCs w:val="24"/>
                    </w:rPr>
                  </w:pPr>
                  <w:r>
                    <w:rPr>
                      <w:sz w:val="24"/>
                      <w:szCs w:val="24"/>
                    </w:rPr>
                    <w:t>S</w:t>
                  </w:r>
                  <w:r w:rsidRPr="00B8115C">
                    <w:rPr>
                      <w:sz w:val="24"/>
                      <w:szCs w:val="24"/>
                    </w:rPr>
                    <w:t xml:space="preserve">hould measure their performance based on local data that take into account the challenges faced by all subpopulations experiencing homelessness in the geographic area (e.g., veterans, youth, families, or those experiencing chronic homelessness). </w:t>
                  </w:r>
                </w:p>
                <w:p w:rsidR="000432EF" w:rsidRDefault="000432EF" w:rsidP="000432EF">
                  <w:pPr>
                    <w:pStyle w:val="NoSpacing"/>
                    <w:numPr>
                      <w:ilvl w:val="0"/>
                      <w:numId w:val="7"/>
                    </w:numPr>
                    <w:rPr>
                      <w:sz w:val="24"/>
                      <w:szCs w:val="24"/>
                    </w:rPr>
                  </w:pPr>
                  <w:r>
                    <w:rPr>
                      <w:sz w:val="24"/>
                      <w:szCs w:val="24"/>
                    </w:rPr>
                    <w:t>S</w:t>
                  </w:r>
                  <w:r w:rsidRPr="00B8115C">
                    <w:rPr>
                      <w:sz w:val="24"/>
                      <w:szCs w:val="24"/>
                    </w:rPr>
                    <w:t xml:space="preserve">hould have a comprehensive outreach strategy in place to identify and continuously engage all unsheltered individuals and families. </w:t>
                  </w:r>
                </w:p>
                <w:p w:rsidR="000432EF" w:rsidRDefault="000432EF" w:rsidP="000432EF">
                  <w:pPr>
                    <w:pStyle w:val="NoSpacing"/>
                    <w:numPr>
                      <w:ilvl w:val="0"/>
                      <w:numId w:val="7"/>
                    </w:numPr>
                    <w:rPr>
                      <w:sz w:val="24"/>
                      <w:szCs w:val="24"/>
                    </w:rPr>
                  </w:pPr>
                  <w:r>
                    <w:rPr>
                      <w:sz w:val="24"/>
                      <w:szCs w:val="24"/>
                    </w:rPr>
                    <w:t>Should</w:t>
                  </w:r>
                  <w:r w:rsidRPr="00B8115C">
                    <w:rPr>
                      <w:sz w:val="24"/>
                      <w:szCs w:val="24"/>
                    </w:rPr>
                    <w:t xml:space="preserve"> use local data to determine the characteristics of individuals and families with the highest needs and longest experiences of homelessness to develop housing and supportive services tailored to their needs. </w:t>
                  </w:r>
                </w:p>
                <w:p w:rsidR="000432EF" w:rsidRPr="00B8115C" w:rsidRDefault="000432EF" w:rsidP="00CA674F">
                  <w:pPr>
                    <w:pStyle w:val="NoSpacing"/>
                    <w:ind w:left="720"/>
                    <w:rPr>
                      <w:sz w:val="24"/>
                      <w:szCs w:val="24"/>
                    </w:rPr>
                  </w:pPr>
                </w:p>
              </w:tc>
            </w:tr>
          </w:tbl>
          <w:p w:rsidR="000432EF" w:rsidRPr="00B8115C" w:rsidRDefault="000432EF" w:rsidP="00CA674F">
            <w:pPr>
              <w:pStyle w:val="NoSpacing"/>
              <w:rPr>
                <w:b/>
                <w:sz w:val="24"/>
                <w:szCs w:val="24"/>
              </w:rPr>
            </w:pPr>
          </w:p>
        </w:tc>
      </w:tr>
      <w:tr w:rsidR="000432EF" w:rsidRPr="00B8115C" w:rsidTr="00CA674F">
        <w:sdt>
          <w:sdtPr>
            <w:rPr>
              <w:b/>
              <w:sz w:val="24"/>
              <w:szCs w:val="24"/>
            </w:rPr>
            <w:id w:val="-1578744510"/>
            <w14:checkbox>
              <w14:checked w14:val="0"/>
              <w14:checkedState w14:val="2612" w14:font="MS Gothic"/>
              <w14:uncheckedState w14:val="2610" w14:font="MS Gothic"/>
            </w14:checkbox>
          </w:sdtPr>
          <w:sdtEndPr/>
          <w:sdtContent>
            <w:tc>
              <w:tcPr>
                <w:tcW w:w="0" w:type="auto"/>
                <w:shd w:val="clear" w:color="auto" w:fill="E2EFD9" w:themeFill="accent6" w:themeFillTint="33"/>
              </w:tcPr>
              <w:p w:rsidR="000432EF" w:rsidRPr="00B8115C" w:rsidRDefault="000432EF" w:rsidP="00CA674F">
                <w:pPr>
                  <w:pStyle w:val="NoSpacing"/>
                  <w:rPr>
                    <w:b/>
                    <w:sz w:val="24"/>
                    <w:szCs w:val="24"/>
                  </w:rPr>
                </w:pPr>
                <w:r w:rsidRPr="00B8115C">
                  <w:rPr>
                    <w:rFonts w:ascii="MS Gothic" w:eastAsia="MS Gothic" w:hAnsi="MS Gothic" w:cs="MS Gothic" w:hint="eastAsia"/>
                    <w:b/>
                    <w:sz w:val="24"/>
                    <w:szCs w:val="24"/>
                  </w:rPr>
                  <w:t>☐</w:t>
                </w:r>
              </w:p>
            </w:tc>
          </w:sdtContent>
        </w:sdt>
        <w:tc>
          <w:tcPr>
            <w:tcW w:w="0" w:type="auto"/>
            <w:shd w:val="clear" w:color="auto" w:fill="E2EFD9" w:themeFill="accent6" w:themeFillTint="33"/>
          </w:tcPr>
          <w:p w:rsidR="000432EF" w:rsidRPr="00B8115C" w:rsidRDefault="000432EF" w:rsidP="00CA674F">
            <w:pPr>
              <w:pStyle w:val="NoSpacing"/>
              <w:rPr>
                <w:sz w:val="24"/>
                <w:szCs w:val="24"/>
              </w:rPr>
            </w:pPr>
            <w:r w:rsidRPr="00B8115C">
              <w:rPr>
                <w:b/>
                <w:sz w:val="24"/>
                <w:szCs w:val="24"/>
              </w:rPr>
              <w:t>Creating a systemic response to homelessness.</w:t>
            </w:r>
          </w:p>
        </w:tc>
      </w:tr>
      <w:tr w:rsidR="000432EF" w:rsidRPr="00B8115C" w:rsidTr="00CA674F">
        <w:tc>
          <w:tcPr>
            <w:tcW w:w="0" w:type="auto"/>
            <w:shd w:val="clear" w:color="auto" w:fill="FFFFFF" w:themeFill="background1"/>
          </w:tcPr>
          <w:p w:rsidR="000432EF" w:rsidRPr="00B8115C" w:rsidRDefault="000432EF" w:rsidP="00CA674F">
            <w:pPr>
              <w:pStyle w:val="NoSpacing"/>
              <w:rPr>
                <w:b/>
                <w:sz w:val="24"/>
                <w:szCs w:val="24"/>
              </w:rPr>
            </w:pPr>
          </w:p>
        </w:tc>
        <w:tc>
          <w:tcPr>
            <w:tcW w:w="0" w:type="auto"/>
            <w:shd w:val="clear" w:color="auto" w:fill="FFFFFF" w:themeFill="background1"/>
          </w:tcPr>
          <w:p w:rsidR="000432EF" w:rsidRPr="00B8115C" w:rsidRDefault="000432EF" w:rsidP="00CA674F">
            <w:pPr>
              <w:pStyle w:val="NoSpacing"/>
              <w:rPr>
                <w:sz w:val="24"/>
                <w:szCs w:val="24"/>
              </w:rPr>
            </w:pPr>
          </w:p>
          <w:tbl>
            <w:tblPr>
              <w:tblW w:w="0" w:type="auto"/>
              <w:tblBorders>
                <w:top w:val="nil"/>
                <w:left w:val="nil"/>
                <w:bottom w:val="nil"/>
                <w:right w:val="nil"/>
              </w:tblBorders>
              <w:tblLook w:val="0000" w:firstRow="0" w:lastRow="0" w:firstColumn="0" w:lastColumn="0" w:noHBand="0" w:noVBand="0"/>
            </w:tblPr>
            <w:tblGrid>
              <w:gridCol w:w="10135"/>
            </w:tblGrid>
            <w:tr w:rsidR="000432EF" w:rsidRPr="00B8115C" w:rsidTr="00CA674F">
              <w:trPr>
                <w:trHeight w:val="1127"/>
              </w:trPr>
              <w:tc>
                <w:tcPr>
                  <w:tcW w:w="0" w:type="auto"/>
                </w:tcPr>
                <w:p w:rsidR="000432EF" w:rsidRDefault="000432EF" w:rsidP="000432EF">
                  <w:pPr>
                    <w:pStyle w:val="NoSpacing"/>
                    <w:numPr>
                      <w:ilvl w:val="0"/>
                      <w:numId w:val="8"/>
                    </w:numPr>
                    <w:rPr>
                      <w:sz w:val="24"/>
                      <w:szCs w:val="24"/>
                    </w:rPr>
                  </w:pPr>
                  <w:r>
                    <w:rPr>
                      <w:sz w:val="24"/>
                      <w:szCs w:val="24"/>
                    </w:rPr>
                    <w:t>S</w:t>
                  </w:r>
                  <w:r w:rsidRPr="00B8115C">
                    <w:rPr>
                      <w:sz w:val="24"/>
                      <w:szCs w:val="24"/>
                    </w:rPr>
                    <w:t xml:space="preserve">hould be using system performance measures such as the average length of homeless episodes, rates of return to homelessness, and rates of exit to permanent housing destinations to determine how effectively they are serving people experiencing homelessness. </w:t>
                  </w:r>
                </w:p>
                <w:p w:rsidR="000432EF" w:rsidRPr="00B8115C" w:rsidRDefault="000432EF" w:rsidP="000432EF">
                  <w:pPr>
                    <w:pStyle w:val="NoSpacing"/>
                    <w:numPr>
                      <w:ilvl w:val="0"/>
                      <w:numId w:val="8"/>
                    </w:numPr>
                    <w:rPr>
                      <w:sz w:val="24"/>
                      <w:szCs w:val="24"/>
                    </w:rPr>
                  </w:pPr>
                  <w:r>
                    <w:rPr>
                      <w:sz w:val="24"/>
                      <w:szCs w:val="24"/>
                    </w:rPr>
                    <w:t>S</w:t>
                  </w:r>
                  <w:r w:rsidRPr="00B8115C">
                    <w:rPr>
                      <w:sz w:val="24"/>
                      <w:szCs w:val="24"/>
                    </w:rPr>
                    <w:t xml:space="preserve">hould be using their Coordinated Entry process to promote participant choice, coordinate homeless assistance and mainstream housing and services to ensure people experiencing homelessness receive assistance quickly, and make homelessness assistance open, inclusive, and transparent. </w:t>
                  </w:r>
                </w:p>
                <w:p w:rsidR="000432EF" w:rsidRPr="00B8115C" w:rsidRDefault="000432EF" w:rsidP="00CA674F">
                  <w:pPr>
                    <w:pStyle w:val="NoSpacing"/>
                    <w:rPr>
                      <w:sz w:val="24"/>
                      <w:szCs w:val="24"/>
                    </w:rPr>
                  </w:pPr>
                </w:p>
              </w:tc>
            </w:tr>
          </w:tbl>
          <w:p w:rsidR="000432EF" w:rsidRPr="00B8115C" w:rsidRDefault="000432EF" w:rsidP="00CA674F">
            <w:pPr>
              <w:pStyle w:val="NoSpacing"/>
              <w:rPr>
                <w:b/>
                <w:sz w:val="24"/>
                <w:szCs w:val="24"/>
              </w:rPr>
            </w:pPr>
          </w:p>
        </w:tc>
      </w:tr>
      <w:tr w:rsidR="000432EF" w:rsidRPr="00B8115C" w:rsidTr="00CA674F">
        <w:sdt>
          <w:sdtPr>
            <w:rPr>
              <w:b/>
              <w:sz w:val="24"/>
              <w:szCs w:val="24"/>
            </w:rPr>
            <w:id w:val="260577776"/>
            <w14:checkbox>
              <w14:checked w14:val="0"/>
              <w14:checkedState w14:val="2612" w14:font="MS Gothic"/>
              <w14:uncheckedState w14:val="2610" w14:font="MS Gothic"/>
            </w14:checkbox>
          </w:sdtPr>
          <w:sdtEndPr/>
          <w:sdtContent>
            <w:tc>
              <w:tcPr>
                <w:tcW w:w="0" w:type="auto"/>
                <w:shd w:val="clear" w:color="auto" w:fill="E2EFD9" w:themeFill="accent6" w:themeFillTint="33"/>
              </w:tcPr>
              <w:p w:rsidR="000432EF" w:rsidRPr="00B8115C" w:rsidRDefault="000432EF" w:rsidP="00CA674F">
                <w:pPr>
                  <w:pStyle w:val="NoSpacing"/>
                  <w:rPr>
                    <w:b/>
                    <w:sz w:val="24"/>
                    <w:szCs w:val="24"/>
                  </w:rPr>
                </w:pPr>
                <w:r w:rsidRPr="00B8115C">
                  <w:rPr>
                    <w:rFonts w:ascii="MS Gothic" w:eastAsia="MS Gothic" w:hAnsi="MS Gothic" w:cs="MS Gothic" w:hint="eastAsia"/>
                    <w:b/>
                    <w:sz w:val="24"/>
                    <w:szCs w:val="24"/>
                  </w:rPr>
                  <w:t>☐</w:t>
                </w:r>
              </w:p>
            </w:tc>
          </w:sdtContent>
        </w:sdt>
        <w:tc>
          <w:tcPr>
            <w:tcW w:w="0" w:type="auto"/>
            <w:shd w:val="clear" w:color="auto" w:fill="E2EFD9" w:themeFill="accent6" w:themeFillTint="33"/>
          </w:tcPr>
          <w:p w:rsidR="000432EF" w:rsidRPr="00B8115C" w:rsidRDefault="000432EF" w:rsidP="00CA674F">
            <w:pPr>
              <w:pStyle w:val="NoSpacing"/>
              <w:rPr>
                <w:sz w:val="24"/>
                <w:szCs w:val="24"/>
              </w:rPr>
            </w:pPr>
            <w:r w:rsidRPr="00B8115C">
              <w:rPr>
                <w:b/>
                <w:sz w:val="24"/>
                <w:szCs w:val="24"/>
              </w:rPr>
              <w:t>Strategically allocating and using resources.</w:t>
            </w:r>
          </w:p>
        </w:tc>
      </w:tr>
      <w:tr w:rsidR="000432EF" w:rsidRPr="00B8115C" w:rsidTr="00CA674F">
        <w:tc>
          <w:tcPr>
            <w:tcW w:w="0" w:type="auto"/>
            <w:shd w:val="clear" w:color="auto" w:fill="FFFFFF" w:themeFill="background1"/>
          </w:tcPr>
          <w:p w:rsidR="000432EF" w:rsidRPr="00B8115C" w:rsidRDefault="000432EF" w:rsidP="00CA674F">
            <w:pPr>
              <w:pStyle w:val="NoSpacing"/>
              <w:rPr>
                <w:b/>
                <w:sz w:val="24"/>
                <w:szCs w:val="24"/>
              </w:rPr>
            </w:pPr>
          </w:p>
        </w:tc>
        <w:tc>
          <w:tcPr>
            <w:tcW w:w="0" w:type="auto"/>
            <w:shd w:val="clear" w:color="auto" w:fill="FFFFFF" w:themeFill="background1"/>
          </w:tcPr>
          <w:p w:rsidR="000432EF" w:rsidRPr="00B8115C" w:rsidRDefault="000432EF" w:rsidP="00CA674F">
            <w:pPr>
              <w:pStyle w:val="NoSpacing"/>
              <w:rPr>
                <w:sz w:val="24"/>
                <w:szCs w:val="24"/>
              </w:rPr>
            </w:pPr>
          </w:p>
          <w:tbl>
            <w:tblPr>
              <w:tblW w:w="0" w:type="auto"/>
              <w:tblBorders>
                <w:top w:val="nil"/>
                <w:left w:val="nil"/>
                <w:bottom w:val="nil"/>
                <w:right w:val="nil"/>
              </w:tblBorders>
              <w:tblLook w:val="0000" w:firstRow="0" w:lastRow="0" w:firstColumn="0" w:lastColumn="0" w:noHBand="0" w:noVBand="0"/>
            </w:tblPr>
            <w:tblGrid>
              <w:gridCol w:w="10135"/>
            </w:tblGrid>
            <w:tr w:rsidR="000432EF" w:rsidRPr="00B8115C" w:rsidTr="00CA674F">
              <w:trPr>
                <w:trHeight w:val="989"/>
              </w:trPr>
              <w:tc>
                <w:tcPr>
                  <w:tcW w:w="0" w:type="auto"/>
                </w:tcPr>
                <w:p w:rsidR="000432EF" w:rsidRDefault="000432EF" w:rsidP="000432EF">
                  <w:pPr>
                    <w:pStyle w:val="NoSpacing"/>
                    <w:numPr>
                      <w:ilvl w:val="0"/>
                      <w:numId w:val="9"/>
                    </w:numPr>
                    <w:rPr>
                      <w:sz w:val="24"/>
                      <w:szCs w:val="24"/>
                    </w:rPr>
                  </w:pPr>
                  <w:r w:rsidRPr="00B8115C">
                    <w:rPr>
                      <w:sz w:val="24"/>
                      <w:szCs w:val="24"/>
                    </w:rPr>
                    <w:t>Using cost, per</w:t>
                  </w:r>
                  <w:r>
                    <w:rPr>
                      <w:sz w:val="24"/>
                      <w:szCs w:val="24"/>
                    </w:rPr>
                    <w:t>formance, and outcome data, projects</w:t>
                  </w:r>
                  <w:r w:rsidRPr="00B8115C">
                    <w:rPr>
                      <w:sz w:val="24"/>
                      <w:szCs w:val="24"/>
                    </w:rPr>
                    <w:t xml:space="preserve"> should improve how resources are utilized to end homelessness. </w:t>
                  </w:r>
                </w:p>
                <w:p w:rsidR="000432EF" w:rsidRDefault="000432EF" w:rsidP="000432EF">
                  <w:pPr>
                    <w:pStyle w:val="NoSpacing"/>
                    <w:numPr>
                      <w:ilvl w:val="0"/>
                      <w:numId w:val="9"/>
                    </w:numPr>
                    <w:rPr>
                      <w:sz w:val="24"/>
                      <w:szCs w:val="24"/>
                    </w:rPr>
                  </w:pPr>
                  <w:r>
                    <w:rPr>
                      <w:sz w:val="24"/>
                      <w:szCs w:val="24"/>
                    </w:rPr>
                    <w:t>S</w:t>
                  </w:r>
                  <w:r w:rsidRPr="00B8115C">
                    <w:rPr>
                      <w:sz w:val="24"/>
                      <w:szCs w:val="24"/>
                    </w:rPr>
                    <w:t>hould review project quality, performance, and cost effectiveness.</w:t>
                  </w:r>
                </w:p>
                <w:p w:rsidR="000432EF" w:rsidRDefault="000432EF" w:rsidP="000432EF">
                  <w:pPr>
                    <w:pStyle w:val="NoSpacing"/>
                    <w:numPr>
                      <w:ilvl w:val="0"/>
                      <w:numId w:val="9"/>
                    </w:numPr>
                    <w:rPr>
                      <w:sz w:val="24"/>
                      <w:szCs w:val="24"/>
                    </w:rPr>
                  </w:pPr>
                  <w:r>
                    <w:rPr>
                      <w:sz w:val="24"/>
                      <w:szCs w:val="24"/>
                    </w:rPr>
                    <w:t xml:space="preserve">Should </w:t>
                  </w:r>
                  <w:r w:rsidRPr="00B8115C">
                    <w:rPr>
                      <w:sz w:val="24"/>
                      <w:szCs w:val="24"/>
                    </w:rPr>
                    <w:t xml:space="preserve">maximize the use of mainstream and other community-based resources when serving persons experiencing homelessness. </w:t>
                  </w:r>
                </w:p>
                <w:p w:rsidR="000432EF" w:rsidRPr="00B8115C" w:rsidRDefault="000432EF" w:rsidP="00CA674F">
                  <w:pPr>
                    <w:pStyle w:val="NoSpacing"/>
                    <w:ind w:left="720"/>
                    <w:rPr>
                      <w:sz w:val="24"/>
                      <w:szCs w:val="24"/>
                    </w:rPr>
                  </w:pPr>
                </w:p>
              </w:tc>
            </w:tr>
          </w:tbl>
          <w:p w:rsidR="000432EF" w:rsidRPr="00B8115C" w:rsidRDefault="000432EF" w:rsidP="00CA674F">
            <w:pPr>
              <w:pStyle w:val="NoSpacing"/>
              <w:rPr>
                <w:b/>
                <w:sz w:val="24"/>
                <w:szCs w:val="24"/>
              </w:rPr>
            </w:pPr>
          </w:p>
        </w:tc>
      </w:tr>
      <w:tr w:rsidR="000432EF" w:rsidRPr="00B8115C" w:rsidTr="00CA674F">
        <w:sdt>
          <w:sdtPr>
            <w:rPr>
              <w:b/>
              <w:sz w:val="24"/>
              <w:szCs w:val="24"/>
            </w:rPr>
            <w:id w:val="-855341440"/>
            <w14:checkbox>
              <w14:checked w14:val="0"/>
              <w14:checkedState w14:val="2612" w14:font="MS Gothic"/>
              <w14:uncheckedState w14:val="2610" w14:font="MS Gothic"/>
            </w14:checkbox>
          </w:sdtPr>
          <w:sdtEndPr/>
          <w:sdtContent>
            <w:tc>
              <w:tcPr>
                <w:tcW w:w="0" w:type="auto"/>
                <w:shd w:val="clear" w:color="auto" w:fill="E2EFD9" w:themeFill="accent6" w:themeFillTint="33"/>
              </w:tcPr>
              <w:p w:rsidR="000432EF" w:rsidRPr="00B8115C" w:rsidRDefault="000432EF" w:rsidP="00CA674F">
                <w:pPr>
                  <w:pStyle w:val="NoSpacing"/>
                  <w:rPr>
                    <w:b/>
                    <w:sz w:val="24"/>
                    <w:szCs w:val="24"/>
                  </w:rPr>
                </w:pPr>
                <w:r w:rsidRPr="00B8115C">
                  <w:rPr>
                    <w:rFonts w:ascii="MS Gothic" w:eastAsia="MS Gothic" w:hAnsi="MS Gothic" w:cs="MS Gothic" w:hint="eastAsia"/>
                    <w:b/>
                    <w:sz w:val="24"/>
                    <w:szCs w:val="24"/>
                  </w:rPr>
                  <w:t>☐</w:t>
                </w:r>
              </w:p>
            </w:tc>
          </w:sdtContent>
        </w:sdt>
        <w:tc>
          <w:tcPr>
            <w:tcW w:w="0" w:type="auto"/>
            <w:shd w:val="clear" w:color="auto" w:fill="E2EFD9" w:themeFill="accent6" w:themeFillTint="33"/>
          </w:tcPr>
          <w:p w:rsidR="000432EF" w:rsidRPr="00B8115C" w:rsidRDefault="000432EF" w:rsidP="00CA674F">
            <w:pPr>
              <w:pStyle w:val="NoSpacing"/>
              <w:rPr>
                <w:sz w:val="24"/>
                <w:szCs w:val="24"/>
              </w:rPr>
            </w:pPr>
            <w:r w:rsidRPr="00B8115C">
              <w:rPr>
                <w:b/>
                <w:sz w:val="24"/>
                <w:szCs w:val="24"/>
              </w:rPr>
              <w:t xml:space="preserve">Use a Housing First approach. </w:t>
            </w:r>
          </w:p>
        </w:tc>
      </w:tr>
      <w:tr w:rsidR="000432EF" w:rsidRPr="00B8115C" w:rsidTr="00CA674F">
        <w:tc>
          <w:tcPr>
            <w:tcW w:w="0" w:type="auto"/>
            <w:shd w:val="clear" w:color="auto" w:fill="FFFFFF" w:themeFill="background1"/>
          </w:tcPr>
          <w:p w:rsidR="000432EF" w:rsidRPr="00B8115C" w:rsidRDefault="000432EF" w:rsidP="00CA674F">
            <w:pPr>
              <w:pStyle w:val="NoSpacing"/>
              <w:rPr>
                <w:b/>
                <w:sz w:val="24"/>
                <w:szCs w:val="24"/>
              </w:rPr>
            </w:pPr>
          </w:p>
        </w:tc>
        <w:tc>
          <w:tcPr>
            <w:tcW w:w="0" w:type="auto"/>
            <w:shd w:val="clear" w:color="auto" w:fill="FFFFFF" w:themeFill="background1"/>
          </w:tcPr>
          <w:p w:rsidR="000432EF" w:rsidRPr="00B8115C" w:rsidRDefault="000432EF" w:rsidP="00CA674F">
            <w:pPr>
              <w:pStyle w:val="NoSpacing"/>
              <w:rPr>
                <w:sz w:val="24"/>
                <w:szCs w:val="24"/>
              </w:rPr>
            </w:pPr>
          </w:p>
          <w:tbl>
            <w:tblPr>
              <w:tblW w:w="0" w:type="auto"/>
              <w:tblBorders>
                <w:top w:val="nil"/>
                <w:left w:val="nil"/>
                <w:bottom w:val="nil"/>
                <w:right w:val="nil"/>
              </w:tblBorders>
              <w:tblLook w:val="0000" w:firstRow="0" w:lastRow="0" w:firstColumn="0" w:lastColumn="0" w:noHBand="0" w:noVBand="0"/>
            </w:tblPr>
            <w:tblGrid>
              <w:gridCol w:w="10135"/>
            </w:tblGrid>
            <w:tr w:rsidR="000432EF" w:rsidRPr="00B8115C" w:rsidTr="00CA674F">
              <w:trPr>
                <w:trHeight w:val="851"/>
              </w:trPr>
              <w:tc>
                <w:tcPr>
                  <w:tcW w:w="0" w:type="auto"/>
                </w:tcPr>
                <w:tbl>
                  <w:tblPr>
                    <w:tblW w:w="0" w:type="auto"/>
                    <w:tblBorders>
                      <w:top w:val="nil"/>
                      <w:left w:val="nil"/>
                      <w:bottom w:val="nil"/>
                      <w:right w:val="nil"/>
                    </w:tblBorders>
                    <w:tblLook w:val="0000" w:firstRow="0" w:lastRow="0" w:firstColumn="0" w:lastColumn="0" w:noHBand="0" w:noVBand="0"/>
                  </w:tblPr>
                  <w:tblGrid>
                    <w:gridCol w:w="9919"/>
                  </w:tblGrid>
                  <w:tr w:rsidR="000432EF" w:rsidRPr="00B8115C" w:rsidTr="00CA674F">
                    <w:trPr>
                      <w:trHeight w:val="299"/>
                    </w:trPr>
                    <w:tc>
                      <w:tcPr>
                        <w:tcW w:w="0" w:type="auto"/>
                      </w:tcPr>
                      <w:p w:rsidR="000432EF" w:rsidRDefault="000432EF" w:rsidP="000432EF">
                        <w:pPr>
                          <w:pStyle w:val="NoSpacing"/>
                          <w:numPr>
                            <w:ilvl w:val="0"/>
                            <w:numId w:val="10"/>
                          </w:numPr>
                          <w:rPr>
                            <w:sz w:val="24"/>
                            <w:szCs w:val="24"/>
                          </w:rPr>
                        </w:pPr>
                        <w:r w:rsidRPr="00B8115C">
                          <w:rPr>
                            <w:sz w:val="24"/>
                            <w:szCs w:val="24"/>
                          </w:rPr>
                          <w:t xml:space="preserve">Housing First prioritizes rapid placement and stabilization in permanent housing and does not have service participation requirements or preconditions. </w:t>
                        </w:r>
                      </w:p>
                      <w:p w:rsidR="000432EF" w:rsidRDefault="000432EF" w:rsidP="000432EF">
                        <w:pPr>
                          <w:pStyle w:val="NoSpacing"/>
                          <w:numPr>
                            <w:ilvl w:val="0"/>
                            <w:numId w:val="10"/>
                          </w:numPr>
                          <w:rPr>
                            <w:sz w:val="24"/>
                            <w:szCs w:val="24"/>
                          </w:rPr>
                        </w:pPr>
                        <w:r w:rsidRPr="00B8115C">
                          <w:rPr>
                            <w:sz w:val="24"/>
                            <w:szCs w:val="24"/>
                          </w:rPr>
                          <w:t>CoC Program funded projects should help individuals and families move quickly into permanent housing, an</w:t>
                        </w:r>
                        <w:r>
                          <w:rPr>
                            <w:sz w:val="24"/>
                            <w:szCs w:val="24"/>
                          </w:rPr>
                          <w:t>d</w:t>
                        </w:r>
                        <w:r w:rsidRPr="00B8115C">
                          <w:rPr>
                            <w:sz w:val="24"/>
                            <w:szCs w:val="24"/>
                          </w:rPr>
                          <w:t xml:space="preserve"> </w:t>
                        </w:r>
                        <w:r>
                          <w:rPr>
                            <w:sz w:val="24"/>
                            <w:szCs w:val="24"/>
                          </w:rPr>
                          <w:t>should measure and</w:t>
                        </w:r>
                        <w:r w:rsidRPr="00B8115C">
                          <w:rPr>
                            <w:sz w:val="24"/>
                            <w:szCs w:val="24"/>
                          </w:rPr>
                          <w:t xml:space="preserve"> reduce the length of time people experience homelessness. </w:t>
                        </w:r>
                      </w:p>
                      <w:p w:rsidR="000432EF" w:rsidRPr="00B8115C" w:rsidRDefault="000432EF" w:rsidP="000432EF">
                        <w:pPr>
                          <w:pStyle w:val="NoSpacing"/>
                          <w:numPr>
                            <w:ilvl w:val="0"/>
                            <w:numId w:val="10"/>
                          </w:numPr>
                          <w:rPr>
                            <w:sz w:val="24"/>
                            <w:szCs w:val="24"/>
                          </w:rPr>
                        </w:pPr>
                        <w:r>
                          <w:rPr>
                            <w:sz w:val="24"/>
                            <w:szCs w:val="24"/>
                          </w:rPr>
                          <w:t>Should</w:t>
                        </w:r>
                        <w:r w:rsidRPr="00B8115C">
                          <w:rPr>
                            <w:sz w:val="24"/>
                            <w:szCs w:val="24"/>
                          </w:rPr>
                          <w:t xml:space="preserve"> engage landlords and property owners, remove barriers to entry, and adopt client-centered service methods. </w:t>
                        </w:r>
                      </w:p>
                      <w:p w:rsidR="000432EF" w:rsidRPr="00B8115C" w:rsidRDefault="000432EF" w:rsidP="00CA674F">
                        <w:pPr>
                          <w:pStyle w:val="NoSpacing"/>
                          <w:rPr>
                            <w:sz w:val="24"/>
                            <w:szCs w:val="24"/>
                          </w:rPr>
                        </w:pPr>
                      </w:p>
                    </w:tc>
                  </w:tr>
                </w:tbl>
                <w:p w:rsidR="000432EF" w:rsidRPr="00B8115C" w:rsidRDefault="000432EF" w:rsidP="00CA674F">
                  <w:pPr>
                    <w:pStyle w:val="NoSpacing"/>
                    <w:rPr>
                      <w:sz w:val="24"/>
                      <w:szCs w:val="24"/>
                    </w:rPr>
                  </w:pPr>
                </w:p>
              </w:tc>
            </w:tr>
          </w:tbl>
          <w:p w:rsidR="000432EF" w:rsidRPr="00B8115C" w:rsidRDefault="000432EF" w:rsidP="00CA674F">
            <w:pPr>
              <w:pStyle w:val="NoSpacing"/>
              <w:rPr>
                <w:b/>
                <w:sz w:val="24"/>
                <w:szCs w:val="24"/>
              </w:rPr>
            </w:pPr>
          </w:p>
        </w:tc>
      </w:tr>
    </w:tbl>
    <w:p w:rsidR="000432EF" w:rsidRDefault="000432EF" w:rsidP="000432EF">
      <w:pPr>
        <w:pStyle w:val="NoSpacing"/>
        <w:rPr>
          <w:b/>
          <w:sz w:val="24"/>
          <w:szCs w:val="24"/>
        </w:rPr>
      </w:pPr>
    </w:p>
    <w:p w:rsidR="000432EF" w:rsidRPr="007D1D68" w:rsidRDefault="000432EF" w:rsidP="000432EF">
      <w:pPr>
        <w:pStyle w:val="NoSpacing"/>
        <w:rPr>
          <w:b/>
          <w:sz w:val="24"/>
          <w:szCs w:val="24"/>
        </w:rPr>
      </w:pPr>
    </w:p>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5577E6" w:rsidRDefault="005577E6"/>
    <w:p w:rsidR="005577E6" w:rsidRDefault="005577E6"/>
    <w:p w:rsidR="005577E6" w:rsidRDefault="005577E6"/>
    <w:p w:rsidR="005577E6" w:rsidRDefault="005577E6"/>
    <w:p w:rsidR="005577E6" w:rsidRDefault="005577E6"/>
    <w:p w:rsidR="005577E6" w:rsidRDefault="005577E6"/>
    <w:p w:rsidR="005577E6" w:rsidRDefault="005577E6"/>
    <w:p w:rsidR="000432EF" w:rsidRDefault="000432EF" w:rsidP="000432EF">
      <w:pPr>
        <w:pStyle w:val="Title"/>
        <w:jc w:val="center"/>
        <w:rPr>
          <w:rFonts w:asciiTheme="minorHAnsi" w:hAnsiTheme="minorHAnsi"/>
          <w:b/>
          <w:sz w:val="32"/>
          <w:szCs w:val="32"/>
        </w:rPr>
      </w:pPr>
      <w:r w:rsidRPr="00086E31">
        <w:rPr>
          <w:rFonts w:asciiTheme="minorHAnsi" w:hAnsiTheme="minorHAnsi"/>
          <w:b/>
          <w:sz w:val="32"/>
          <w:szCs w:val="32"/>
        </w:rPr>
        <w:t>Heart of Texas CoC: 2017 NOFA Competition Scoring Sheet for New Projects</w:t>
      </w:r>
    </w:p>
    <w:p w:rsidR="000432EF" w:rsidRPr="00217232" w:rsidRDefault="000432EF" w:rsidP="000432EF"/>
    <w:p w:rsidR="000432EF" w:rsidRPr="0060365A" w:rsidRDefault="000432EF" w:rsidP="000432EF">
      <w:pPr>
        <w:rPr>
          <w:sz w:val="24"/>
          <w:szCs w:val="24"/>
        </w:rPr>
      </w:pPr>
      <w:r w:rsidRPr="00217232">
        <w:rPr>
          <w:b/>
          <w:sz w:val="24"/>
          <w:szCs w:val="24"/>
        </w:rPr>
        <w:t>Agency:</w:t>
      </w:r>
      <w:r>
        <w:rPr>
          <w:sz w:val="24"/>
          <w:szCs w:val="24"/>
        </w:rPr>
        <w:t xml:space="preserve"> _______________________________________________________________________</w:t>
      </w:r>
    </w:p>
    <w:p w:rsidR="000432EF" w:rsidRDefault="000432EF" w:rsidP="000432EF">
      <w:pPr>
        <w:rPr>
          <w:sz w:val="24"/>
          <w:szCs w:val="24"/>
        </w:rPr>
      </w:pPr>
      <w:r w:rsidRPr="00217232">
        <w:rPr>
          <w:b/>
          <w:sz w:val="24"/>
          <w:szCs w:val="24"/>
        </w:rPr>
        <w:t>Project:</w:t>
      </w:r>
      <w:r>
        <w:rPr>
          <w:sz w:val="24"/>
          <w:szCs w:val="24"/>
        </w:rPr>
        <w:t xml:space="preserve"> _______________________________________________________________________</w:t>
      </w:r>
    </w:p>
    <w:p w:rsidR="000432EF" w:rsidRDefault="000432EF" w:rsidP="000432EF">
      <w:pPr>
        <w:rPr>
          <w:sz w:val="24"/>
          <w:szCs w:val="24"/>
        </w:rPr>
      </w:pPr>
    </w:p>
    <w:p w:rsidR="000432EF" w:rsidRPr="00217232" w:rsidRDefault="000432EF" w:rsidP="000432EF">
      <w:pPr>
        <w:rPr>
          <w:sz w:val="24"/>
          <w:szCs w:val="24"/>
        </w:rPr>
      </w:pPr>
      <w:r>
        <w:rPr>
          <w:b/>
          <w:sz w:val="24"/>
          <w:szCs w:val="24"/>
        </w:rPr>
        <w:t xml:space="preserve">Name of Reviewer: </w:t>
      </w:r>
      <w:r>
        <w:rPr>
          <w:sz w:val="24"/>
          <w:szCs w:val="24"/>
        </w:rPr>
        <w:t>_____________________________________________________________</w:t>
      </w:r>
    </w:p>
    <w:p w:rsidR="000432EF" w:rsidRDefault="000432EF" w:rsidP="000432EF">
      <w:pPr>
        <w:rPr>
          <w:sz w:val="24"/>
          <w:szCs w:val="24"/>
        </w:rPr>
      </w:pPr>
      <w:r w:rsidRPr="00217232">
        <w:rPr>
          <w:b/>
          <w:sz w:val="24"/>
          <w:szCs w:val="24"/>
        </w:rPr>
        <w:t>Date:</w:t>
      </w:r>
      <w:r>
        <w:rPr>
          <w:sz w:val="24"/>
          <w:szCs w:val="24"/>
        </w:rPr>
        <w:t xml:space="preserve">_________________________________________________________________________   </w:t>
      </w:r>
    </w:p>
    <w:p w:rsidR="000432EF" w:rsidRPr="00217232" w:rsidRDefault="000432EF" w:rsidP="000432EF">
      <w:pPr>
        <w:rPr>
          <w:sz w:val="24"/>
          <w:szCs w:val="24"/>
        </w:rPr>
      </w:pPr>
    </w:p>
    <w:p w:rsidR="000432EF" w:rsidRPr="00086E31" w:rsidRDefault="000432EF" w:rsidP="000432EF">
      <w:pPr>
        <w:pStyle w:val="Heading1"/>
        <w:jc w:val="center"/>
        <w:rPr>
          <w:rFonts w:asciiTheme="minorHAnsi" w:hAnsiTheme="minorHAnsi"/>
          <w:b/>
          <w:color w:val="auto"/>
          <w:sz w:val="28"/>
          <w:szCs w:val="28"/>
        </w:rPr>
      </w:pPr>
      <w:r w:rsidRPr="00086E31">
        <w:rPr>
          <w:rFonts w:asciiTheme="minorHAnsi" w:hAnsiTheme="minorHAnsi"/>
          <w:b/>
          <w:color w:val="auto"/>
          <w:sz w:val="28"/>
          <w:szCs w:val="28"/>
        </w:rPr>
        <w:t>Threshold Review</w:t>
      </w:r>
    </w:p>
    <w:p w:rsidR="000432EF" w:rsidRPr="00552B8B" w:rsidRDefault="000432EF" w:rsidP="000432EF">
      <w:pPr>
        <w:pStyle w:val="NoSpacing"/>
      </w:pPr>
    </w:p>
    <w:tbl>
      <w:tblPr>
        <w:tblStyle w:val="TableGrid"/>
        <w:tblW w:w="0" w:type="auto"/>
        <w:tblLook w:val="04A0" w:firstRow="1" w:lastRow="0" w:firstColumn="1" w:lastColumn="0" w:noHBand="0" w:noVBand="1"/>
      </w:tblPr>
      <w:tblGrid>
        <w:gridCol w:w="7555"/>
        <w:gridCol w:w="1795"/>
      </w:tblGrid>
      <w:tr w:rsidR="000432EF" w:rsidTr="00CA674F">
        <w:trPr>
          <w:tblHeader/>
        </w:trPr>
        <w:tc>
          <w:tcPr>
            <w:tcW w:w="7555" w:type="dxa"/>
            <w:shd w:val="clear" w:color="auto" w:fill="FBE4D5" w:themeFill="accent2" w:themeFillTint="33"/>
          </w:tcPr>
          <w:p w:rsidR="000432EF" w:rsidRDefault="000432EF" w:rsidP="00CA674F">
            <w:pPr>
              <w:rPr>
                <w:b/>
              </w:rPr>
            </w:pPr>
            <w:r>
              <w:rPr>
                <w:b/>
              </w:rPr>
              <w:t>Threshold Review Criteria</w:t>
            </w:r>
          </w:p>
          <w:p w:rsidR="000432EF" w:rsidRDefault="000432EF" w:rsidP="00CA674F">
            <w:pPr>
              <w:rPr>
                <w:i/>
              </w:rPr>
            </w:pPr>
            <w:r>
              <w:rPr>
                <w:i/>
              </w:rPr>
              <w:t xml:space="preserve">Applicants must fully meet threshold criteria. </w:t>
            </w:r>
          </w:p>
          <w:p w:rsidR="000432EF" w:rsidRPr="00933C9C" w:rsidRDefault="000432EF" w:rsidP="00CA674F">
            <w:pPr>
              <w:rPr>
                <w:i/>
              </w:rPr>
            </w:pPr>
            <w:r>
              <w:rPr>
                <w:i/>
              </w:rPr>
              <w:t>Projects not meeting all the specified criteria will not be reviewed further.</w:t>
            </w:r>
          </w:p>
        </w:tc>
        <w:tc>
          <w:tcPr>
            <w:tcW w:w="1795" w:type="dxa"/>
            <w:shd w:val="clear" w:color="auto" w:fill="FBE4D5" w:themeFill="accent2" w:themeFillTint="33"/>
          </w:tcPr>
          <w:p w:rsidR="000432EF" w:rsidRDefault="000432EF" w:rsidP="00CA674F">
            <w:pPr>
              <w:rPr>
                <w:b/>
              </w:rPr>
            </w:pPr>
            <w:r>
              <w:rPr>
                <w:b/>
              </w:rPr>
              <w:t>Meets Criteria?</w:t>
            </w:r>
          </w:p>
          <w:p w:rsidR="000432EF" w:rsidRPr="00933C9C" w:rsidRDefault="000432EF" w:rsidP="00CA674F">
            <w:pPr>
              <w:rPr>
                <w:b/>
              </w:rPr>
            </w:pPr>
            <w:r>
              <w:rPr>
                <w:b/>
              </w:rPr>
              <w:t>Yes or No</w:t>
            </w:r>
          </w:p>
        </w:tc>
      </w:tr>
      <w:tr w:rsidR="000432EF" w:rsidRPr="00DE4B3F" w:rsidTr="00CA674F">
        <w:tc>
          <w:tcPr>
            <w:tcW w:w="7555" w:type="dxa"/>
          </w:tcPr>
          <w:p w:rsidR="000432EF" w:rsidRDefault="000432EF" w:rsidP="000432EF">
            <w:pPr>
              <w:pStyle w:val="ListParagraph"/>
              <w:numPr>
                <w:ilvl w:val="0"/>
                <w:numId w:val="19"/>
              </w:numPr>
            </w:pPr>
            <w:r w:rsidRPr="00705CE3">
              <w:t>Project must be for eligible housing: rapid rehousing, permanent supportive housing or transitio</w:t>
            </w:r>
            <w:r>
              <w:t>nal</w:t>
            </w:r>
            <w:r w:rsidRPr="00705CE3">
              <w:t xml:space="preserve"> housing/Rapid Rehousing; or for HMIS expansion or additional services for the Coordinated Entry System, or the new transitional housing to rapid rehousing (TH-PH-RRH) projects</w:t>
            </w:r>
          </w:p>
          <w:p w:rsidR="000432EF" w:rsidRPr="00705CE3" w:rsidRDefault="000432EF" w:rsidP="00CA674F">
            <w:pPr>
              <w:pStyle w:val="ListParagraph"/>
              <w:ind w:left="360"/>
            </w:pPr>
          </w:p>
        </w:tc>
        <w:tc>
          <w:tcPr>
            <w:tcW w:w="1795" w:type="dxa"/>
          </w:tcPr>
          <w:p w:rsidR="000432EF" w:rsidRPr="00DE4B3F" w:rsidRDefault="000432EF" w:rsidP="00CA674F"/>
        </w:tc>
      </w:tr>
      <w:tr w:rsidR="000432EF" w:rsidRPr="00DE4B3F" w:rsidTr="00CA674F">
        <w:tc>
          <w:tcPr>
            <w:tcW w:w="7555" w:type="dxa"/>
          </w:tcPr>
          <w:p w:rsidR="000432EF" w:rsidRDefault="000432EF" w:rsidP="000432EF">
            <w:pPr>
              <w:pStyle w:val="ListParagraph"/>
              <w:numPr>
                <w:ilvl w:val="0"/>
                <w:numId w:val="19"/>
              </w:numPr>
              <w:ind w:right="-131"/>
            </w:pPr>
            <w:r w:rsidRPr="00DE4B3F">
              <w:t xml:space="preserve">For housing projects, The population served must meet program eligibility requirements, including: </w:t>
            </w:r>
          </w:p>
          <w:p w:rsidR="000432EF" w:rsidRPr="00DE4B3F" w:rsidRDefault="000432EF" w:rsidP="00CA674F">
            <w:pPr>
              <w:pStyle w:val="ListParagraph"/>
              <w:ind w:left="360" w:right="-131"/>
            </w:pPr>
          </w:p>
          <w:p w:rsidR="000432EF" w:rsidRPr="00466714" w:rsidRDefault="000432EF" w:rsidP="000432EF">
            <w:pPr>
              <w:pStyle w:val="ListParagraph"/>
              <w:numPr>
                <w:ilvl w:val="0"/>
                <w:numId w:val="13"/>
              </w:numPr>
            </w:pPr>
            <w:r w:rsidRPr="00466714">
              <w:t xml:space="preserve">PSH: </w:t>
            </w:r>
          </w:p>
          <w:p w:rsidR="000432EF" w:rsidRPr="00466714" w:rsidRDefault="000432EF" w:rsidP="000432EF">
            <w:pPr>
              <w:pStyle w:val="ListParagraph"/>
              <w:numPr>
                <w:ilvl w:val="1"/>
                <w:numId w:val="20"/>
              </w:numPr>
            </w:pPr>
            <w:r w:rsidRPr="00466714">
              <w:t>All projects must primarily serve chronically homeless individuals and/or families, as defined by HUD. All projects must be either 100% dedicated to chronically homeless or all beds/units must be Dedicated PLUS</w:t>
            </w:r>
          </w:p>
          <w:p w:rsidR="000432EF" w:rsidRPr="00466714" w:rsidRDefault="000432EF" w:rsidP="000432EF">
            <w:pPr>
              <w:pStyle w:val="ListParagraph"/>
              <w:numPr>
                <w:ilvl w:val="1"/>
                <w:numId w:val="20"/>
              </w:numPr>
            </w:pPr>
            <w:r w:rsidRPr="00466714">
              <w:t xml:space="preserve">This will be demonstrated by conformity with HUD Notice CPD-16-11: Prioritizing Persons Experiencing Chronic Homelessness and Other Vulnerable Homeless Persons. </w:t>
            </w:r>
          </w:p>
          <w:p w:rsidR="000432EF" w:rsidRPr="00466714" w:rsidRDefault="000432EF" w:rsidP="000432EF">
            <w:pPr>
              <w:pStyle w:val="ListParagraph"/>
              <w:numPr>
                <w:ilvl w:val="1"/>
                <w:numId w:val="20"/>
              </w:numPr>
            </w:pPr>
            <w:r w:rsidRPr="00466714">
              <w:t xml:space="preserve">All projects must serve exclusively disabled individuals/households as defined by HUD </w:t>
            </w:r>
          </w:p>
          <w:p w:rsidR="000432EF" w:rsidRPr="00466714" w:rsidRDefault="000432EF" w:rsidP="000432EF">
            <w:pPr>
              <w:pStyle w:val="ListParagraph"/>
              <w:numPr>
                <w:ilvl w:val="0"/>
                <w:numId w:val="13"/>
              </w:numPr>
              <w:tabs>
                <w:tab w:val="left" w:pos="839"/>
              </w:tabs>
            </w:pPr>
            <w:r w:rsidRPr="00466714">
              <w:t>RRH: Eligible RRH participants include:</w:t>
            </w:r>
          </w:p>
          <w:p w:rsidR="000432EF" w:rsidRPr="00466714" w:rsidRDefault="000432EF" w:rsidP="000432EF">
            <w:pPr>
              <w:pStyle w:val="ListParagraph"/>
              <w:numPr>
                <w:ilvl w:val="1"/>
                <w:numId w:val="21"/>
              </w:numPr>
            </w:pPr>
            <w:r w:rsidRPr="00466714">
              <w:t>Residing in place not meant for human habitation</w:t>
            </w:r>
          </w:p>
          <w:p w:rsidR="000432EF" w:rsidRPr="00466714" w:rsidRDefault="000432EF" w:rsidP="000432EF">
            <w:pPr>
              <w:pStyle w:val="ListParagraph"/>
              <w:numPr>
                <w:ilvl w:val="1"/>
                <w:numId w:val="21"/>
              </w:numPr>
            </w:pPr>
            <w:r w:rsidRPr="00466714">
              <w:t>Residing in emergency shelter</w:t>
            </w:r>
          </w:p>
          <w:p w:rsidR="000432EF" w:rsidRPr="00466714" w:rsidRDefault="000432EF" w:rsidP="000432EF">
            <w:pPr>
              <w:pStyle w:val="ListParagraph"/>
              <w:numPr>
                <w:ilvl w:val="1"/>
                <w:numId w:val="21"/>
              </w:numPr>
            </w:pPr>
            <w:r w:rsidRPr="00466714">
              <w:t>Meet DV criteria in homeless definition (category 4)</w:t>
            </w:r>
          </w:p>
          <w:p w:rsidR="000432EF" w:rsidRPr="00466714" w:rsidRDefault="000432EF" w:rsidP="000432EF">
            <w:pPr>
              <w:pStyle w:val="ListParagraph"/>
              <w:numPr>
                <w:ilvl w:val="1"/>
                <w:numId w:val="21"/>
              </w:numPr>
            </w:pPr>
            <w:r w:rsidRPr="00466714">
              <w:t>Residing in a TH project eliminated in the 2017 competition</w:t>
            </w:r>
          </w:p>
          <w:p w:rsidR="000432EF" w:rsidRPr="00466714" w:rsidRDefault="000432EF" w:rsidP="000432EF">
            <w:pPr>
              <w:pStyle w:val="ListParagraph"/>
              <w:numPr>
                <w:ilvl w:val="1"/>
                <w:numId w:val="21"/>
              </w:numPr>
            </w:pPr>
            <w:r w:rsidRPr="00466714">
              <w:t>Residing in TH funded as part of a joint TH PH-RRH project</w:t>
            </w:r>
          </w:p>
          <w:p w:rsidR="000432EF" w:rsidRDefault="000432EF" w:rsidP="000432EF">
            <w:pPr>
              <w:pStyle w:val="ListParagraph"/>
              <w:numPr>
                <w:ilvl w:val="1"/>
                <w:numId w:val="21"/>
              </w:numPr>
            </w:pPr>
            <w:r w:rsidRPr="00466714">
              <w:t>Receiving assistance from a VA homeless program and met one of the above criteria on intake into the VA program</w:t>
            </w:r>
          </w:p>
          <w:p w:rsidR="000432EF" w:rsidRDefault="000432EF" w:rsidP="00CA674F">
            <w:pPr>
              <w:pStyle w:val="ListParagraph"/>
              <w:ind w:left="1440"/>
            </w:pPr>
          </w:p>
          <w:p w:rsidR="000432EF" w:rsidRPr="00466714" w:rsidRDefault="000432EF" w:rsidP="00CA674F">
            <w:pPr>
              <w:pStyle w:val="ListParagraph"/>
              <w:ind w:left="1440"/>
            </w:pPr>
          </w:p>
          <w:p w:rsidR="000432EF" w:rsidRPr="00466714" w:rsidRDefault="000432EF" w:rsidP="000432EF">
            <w:pPr>
              <w:pStyle w:val="ListParagraph"/>
              <w:numPr>
                <w:ilvl w:val="0"/>
                <w:numId w:val="13"/>
              </w:numPr>
            </w:pPr>
            <w:r w:rsidRPr="00466714">
              <w:t>TH-RRH: Same eligible participants as RRH</w:t>
            </w:r>
          </w:p>
          <w:p w:rsidR="000432EF" w:rsidRPr="00466714" w:rsidRDefault="000432EF" w:rsidP="000432EF">
            <w:pPr>
              <w:pStyle w:val="ListParagraph"/>
              <w:numPr>
                <w:ilvl w:val="0"/>
                <w:numId w:val="18"/>
              </w:numPr>
              <w:ind w:left="1350"/>
            </w:pPr>
            <w:r w:rsidRPr="00466714">
              <w:t>All projects must serve 100% literally homeless families and/or single adults coming from emergency shelters and/or unsheltered locations or those fleeing domestic violence.</w:t>
            </w:r>
          </w:p>
          <w:p w:rsidR="000432EF" w:rsidRPr="00DE4B3F" w:rsidRDefault="000432EF" w:rsidP="000432EF">
            <w:pPr>
              <w:pStyle w:val="ListParagraph"/>
              <w:numPr>
                <w:ilvl w:val="0"/>
                <w:numId w:val="18"/>
              </w:numPr>
              <w:ind w:left="1350"/>
            </w:pPr>
            <w:r>
              <w:t xml:space="preserve">TH-PH-RRH. </w:t>
            </w:r>
            <w:r w:rsidRPr="00466714">
              <w:t>Participants must meet eligibility criteria as indicated in the 2017 NOFA. All participants must initially receive TH services and transition as soon as practical to rapid rehousing</w:t>
            </w:r>
            <w:r w:rsidRPr="00466714">
              <w:rPr>
                <w:sz w:val="20"/>
              </w:rPr>
              <w:t xml:space="preserve">.  </w:t>
            </w:r>
          </w:p>
          <w:p w:rsidR="000432EF" w:rsidRPr="00DE4B3F" w:rsidRDefault="000432EF" w:rsidP="000432EF">
            <w:pPr>
              <w:pStyle w:val="ListParagraph"/>
              <w:numPr>
                <w:ilvl w:val="2"/>
                <w:numId w:val="13"/>
              </w:numPr>
            </w:pPr>
            <w:r w:rsidRPr="00DE4B3F">
              <w:t>All projects must serve 100% literally homeless families and/or single adults coming from emergency shelters and/or unsheltered locations or those fleeing domestic violence.</w:t>
            </w:r>
          </w:p>
          <w:p w:rsidR="000432EF" w:rsidRDefault="000432EF" w:rsidP="000432EF">
            <w:pPr>
              <w:pStyle w:val="ListParagraph"/>
              <w:numPr>
                <w:ilvl w:val="2"/>
                <w:numId w:val="13"/>
              </w:numPr>
            </w:pPr>
            <w:r w:rsidRPr="00DE4B3F">
              <w:t xml:space="preserve">TH-PH-RRH. Participants must meet eligibility criteria as indicated in the 2017 NOFA. All participants must initially receive TH services and transition as soon as practical to rapid rehousing.  </w:t>
            </w:r>
          </w:p>
          <w:p w:rsidR="000432EF" w:rsidRPr="00DE4B3F" w:rsidRDefault="000432EF" w:rsidP="00CA674F">
            <w:pPr>
              <w:pStyle w:val="ListParagraph"/>
              <w:ind w:left="2160"/>
            </w:pPr>
          </w:p>
        </w:tc>
        <w:tc>
          <w:tcPr>
            <w:tcW w:w="1795" w:type="dxa"/>
          </w:tcPr>
          <w:p w:rsidR="000432EF" w:rsidRPr="00DE4B3F" w:rsidRDefault="000432EF" w:rsidP="00CA674F"/>
        </w:tc>
      </w:tr>
      <w:tr w:rsidR="000432EF" w:rsidRPr="00DE4B3F" w:rsidTr="00CA674F">
        <w:tc>
          <w:tcPr>
            <w:tcW w:w="7555" w:type="dxa"/>
          </w:tcPr>
          <w:p w:rsidR="000432EF" w:rsidRPr="00DE4B3F" w:rsidRDefault="000432EF" w:rsidP="000432EF">
            <w:pPr>
              <w:pStyle w:val="ListParagraph"/>
              <w:numPr>
                <w:ilvl w:val="0"/>
                <w:numId w:val="19"/>
              </w:numPr>
              <w:tabs>
                <w:tab w:val="left" w:pos="1080"/>
              </w:tabs>
            </w:pPr>
            <w:r w:rsidRPr="00DE4B3F">
              <w:t xml:space="preserve">Projects can request only these funds for a term of one year: </w:t>
            </w:r>
          </w:p>
          <w:p w:rsidR="000432EF" w:rsidRPr="00DE4B3F" w:rsidRDefault="000432EF" w:rsidP="000432EF">
            <w:pPr>
              <w:pStyle w:val="ListParagraph"/>
              <w:numPr>
                <w:ilvl w:val="0"/>
                <w:numId w:val="14"/>
              </w:numPr>
              <w:tabs>
                <w:tab w:val="left" w:pos="1080"/>
              </w:tabs>
            </w:pPr>
            <w:r w:rsidRPr="00DE4B3F">
              <w:t>PSH: Rental assistance (tenant, sponsor, or project based), leasing or operating funds, supportive services, HMIS and administrative costs</w:t>
            </w:r>
          </w:p>
          <w:p w:rsidR="000432EF" w:rsidRPr="00DE4B3F" w:rsidRDefault="000432EF" w:rsidP="000432EF">
            <w:pPr>
              <w:pStyle w:val="ListParagraph"/>
              <w:numPr>
                <w:ilvl w:val="0"/>
                <w:numId w:val="14"/>
              </w:numPr>
              <w:tabs>
                <w:tab w:val="left" w:pos="1080"/>
              </w:tabs>
            </w:pPr>
            <w:r w:rsidRPr="00DE4B3F">
              <w:t xml:space="preserve">RRH: Rental assistance (tenant based only) supportive services, HMIS and administrative costs  </w:t>
            </w:r>
          </w:p>
          <w:p w:rsidR="000432EF" w:rsidRPr="00DE4B3F" w:rsidRDefault="000432EF" w:rsidP="000432EF">
            <w:pPr>
              <w:pStyle w:val="ListParagraph"/>
              <w:numPr>
                <w:ilvl w:val="0"/>
                <w:numId w:val="14"/>
              </w:numPr>
              <w:tabs>
                <w:tab w:val="left" w:pos="1080"/>
              </w:tabs>
            </w:pPr>
            <w:r w:rsidRPr="00DE4B3F">
              <w:t>TH-RRH: For TH component – operating, leasing or rental assistance, for RRH component tenant based rental assistance only, supportive services and admin costs eligible for entire project.TH-RRH:  Operating or leasing assistance and supportive services for the TH phase; tenant based rental assistance plus supportive services for the RRH phase.</w:t>
            </w:r>
          </w:p>
        </w:tc>
        <w:tc>
          <w:tcPr>
            <w:tcW w:w="1795" w:type="dxa"/>
          </w:tcPr>
          <w:p w:rsidR="000432EF" w:rsidRPr="00DE4B3F" w:rsidRDefault="000432EF" w:rsidP="00CA674F"/>
        </w:tc>
      </w:tr>
    </w:tbl>
    <w:p w:rsidR="000432EF" w:rsidRDefault="000432EF" w:rsidP="000432EF"/>
    <w:p w:rsidR="000432EF" w:rsidRPr="0042373E" w:rsidRDefault="000432EF" w:rsidP="000432EF">
      <w:pPr>
        <w:rPr>
          <w:b/>
        </w:rPr>
      </w:pPr>
      <w:r w:rsidRPr="0042373E">
        <w:rPr>
          <w:b/>
        </w:rPr>
        <w:t>Project meets threshold eligibility criteria?</w:t>
      </w:r>
    </w:p>
    <w:p w:rsidR="000432EF" w:rsidRPr="00DE4B3F" w:rsidRDefault="000432EF" w:rsidP="000432EF">
      <w:pPr>
        <w:pStyle w:val="ListParagraph"/>
        <w:numPr>
          <w:ilvl w:val="0"/>
          <w:numId w:val="15"/>
        </w:numPr>
      </w:pPr>
      <w:r w:rsidRPr="00DE4B3F">
        <w:t xml:space="preserve">Yes </w:t>
      </w:r>
    </w:p>
    <w:p w:rsidR="000432EF" w:rsidRPr="00DE4B3F" w:rsidRDefault="000432EF" w:rsidP="000432EF">
      <w:pPr>
        <w:pStyle w:val="ListParagraph"/>
        <w:numPr>
          <w:ilvl w:val="0"/>
          <w:numId w:val="15"/>
        </w:numPr>
      </w:pPr>
      <w:r w:rsidRPr="00DE4B3F">
        <w:t xml:space="preserve">No </w:t>
      </w:r>
    </w:p>
    <w:p w:rsidR="000432EF" w:rsidRDefault="000432EF" w:rsidP="000432EF">
      <w:pPr>
        <w:spacing w:line="360" w:lineRule="auto"/>
        <w:ind w:left="405"/>
        <w:rPr>
          <w:b/>
          <w:sz w:val="28"/>
          <w:szCs w:val="28"/>
        </w:rPr>
      </w:pPr>
      <w:r w:rsidRPr="00DE4B3F">
        <w:t xml:space="preserve">Comments: </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
          <w:sz w:val="28"/>
          <w:szCs w:val="28"/>
        </w:rPr>
        <w:br w:type="page"/>
      </w:r>
    </w:p>
    <w:p w:rsidR="000432EF" w:rsidRDefault="000432EF" w:rsidP="000432EF">
      <w:pPr>
        <w:pStyle w:val="Heading1"/>
        <w:jc w:val="center"/>
        <w:rPr>
          <w:rFonts w:asciiTheme="minorHAnsi" w:hAnsiTheme="minorHAnsi"/>
          <w:b/>
          <w:color w:val="auto"/>
          <w:sz w:val="28"/>
          <w:szCs w:val="28"/>
        </w:rPr>
      </w:pPr>
      <w:r w:rsidRPr="00086E31">
        <w:rPr>
          <w:rFonts w:asciiTheme="minorHAnsi" w:hAnsiTheme="minorHAnsi"/>
          <w:b/>
          <w:color w:val="auto"/>
          <w:sz w:val="28"/>
          <w:szCs w:val="28"/>
        </w:rPr>
        <w:t>Application Scoring</w:t>
      </w:r>
    </w:p>
    <w:p w:rsidR="000432EF" w:rsidRPr="00217232" w:rsidRDefault="000432EF" w:rsidP="000432EF">
      <w:pPr>
        <w:pStyle w:val="NoSpacing"/>
      </w:pPr>
    </w:p>
    <w:tbl>
      <w:tblPr>
        <w:tblStyle w:val="TableGrid"/>
        <w:tblW w:w="0" w:type="auto"/>
        <w:tblInd w:w="18" w:type="dxa"/>
        <w:tblLook w:val="04A0" w:firstRow="1" w:lastRow="0" w:firstColumn="1" w:lastColumn="0" w:noHBand="0" w:noVBand="1"/>
      </w:tblPr>
      <w:tblGrid>
        <w:gridCol w:w="6464"/>
        <w:gridCol w:w="1186"/>
        <w:gridCol w:w="1682"/>
      </w:tblGrid>
      <w:tr w:rsidR="000432EF" w:rsidRPr="00DE4B3F" w:rsidTr="00CA674F">
        <w:trPr>
          <w:tblHeader/>
        </w:trPr>
        <w:tc>
          <w:tcPr>
            <w:tcW w:w="6464" w:type="dxa"/>
            <w:shd w:val="clear" w:color="auto" w:fill="FBE4D5" w:themeFill="accent2" w:themeFillTint="33"/>
          </w:tcPr>
          <w:p w:rsidR="000432EF" w:rsidRPr="00DE4B3F" w:rsidRDefault="000432EF" w:rsidP="00CA674F">
            <w:pPr>
              <w:rPr>
                <w:b/>
              </w:rPr>
            </w:pPr>
            <w:r w:rsidRPr="00DE4B3F">
              <w:rPr>
                <w:b/>
              </w:rPr>
              <w:t>Scoring Factor</w:t>
            </w:r>
          </w:p>
        </w:tc>
        <w:tc>
          <w:tcPr>
            <w:tcW w:w="1186" w:type="dxa"/>
            <w:shd w:val="clear" w:color="auto" w:fill="FBE4D5" w:themeFill="accent2" w:themeFillTint="33"/>
          </w:tcPr>
          <w:p w:rsidR="000432EF" w:rsidRPr="00DE4B3F" w:rsidRDefault="000432EF" w:rsidP="00CA674F">
            <w:pPr>
              <w:rPr>
                <w:b/>
              </w:rPr>
            </w:pPr>
            <w:r w:rsidRPr="00DE4B3F">
              <w:rPr>
                <w:b/>
              </w:rPr>
              <w:t>Maximum Points</w:t>
            </w:r>
          </w:p>
        </w:tc>
        <w:tc>
          <w:tcPr>
            <w:tcW w:w="1682" w:type="dxa"/>
            <w:shd w:val="clear" w:color="auto" w:fill="FBE4D5" w:themeFill="accent2" w:themeFillTint="33"/>
          </w:tcPr>
          <w:p w:rsidR="000432EF" w:rsidRPr="00DE4B3F" w:rsidRDefault="000432EF" w:rsidP="00CA674F">
            <w:pPr>
              <w:rPr>
                <w:b/>
              </w:rPr>
            </w:pPr>
            <w:r w:rsidRPr="00DE4B3F">
              <w:rPr>
                <w:b/>
              </w:rPr>
              <w:t>Score Assigned</w:t>
            </w:r>
          </w:p>
        </w:tc>
      </w:tr>
      <w:tr w:rsidR="000432EF" w:rsidRPr="00DE4B3F" w:rsidTr="00CA674F">
        <w:trPr>
          <w:trHeight w:val="5102"/>
        </w:trPr>
        <w:tc>
          <w:tcPr>
            <w:tcW w:w="6464" w:type="dxa"/>
          </w:tcPr>
          <w:p w:rsidR="000432EF" w:rsidRPr="00826D87" w:rsidRDefault="000432EF" w:rsidP="000432EF">
            <w:pPr>
              <w:pStyle w:val="ListParagraph"/>
              <w:numPr>
                <w:ilvl w:val="0"/>
                <w:numId w:val="25"/>
              </w:numPr>
              <w:rPr>
                <w:b/>
              </w:rPr>
            </w:pPr>
            <w:r w:rsidRPr="00826D87">
              <w:rPr>
                <w:b/>
              </w:rPr>
              <w:t>History and Experience (40 points):</w:t>
            </w:r>
          </w:p>
          <w:p w:rsidR="000432EF" w:rsidRPr="00DE4B3F" w:rsidRDefault="000432EF" w:rsidP="00CA674F">
            <w:pPr>
              <w:pStyle w:val="NoSpacing"/>
            </w:pPr>
          </w:p>
          <w:p w:rsidR="000432EF" w:rsidRDefault="000432EF" w:rsidP="000432EF">
            <w:pPr>
              <w:pStyle w:val="ListParagraph"/>
              <w:numPr>
                <w:ilvl w:val="1"/>
                <w:numId w:val="25"/>
              </w:numPr>
              <w:rPr>
                <w:b/>
              </w:rPr>
            </w:pPr>
            <w:bookmarkStart w:id="0" w:name="_Hlk483822471"/>
            <w:r w:rsidRPr="00DE4B3F">
              <w:t>Applicant and sub recipient(s)’ prior experience in serving homeless people and in providing housing and services like that proposed in the application. Experience of relevant staff – even if at a different agency – will count toward agency experience</w:t>
            </w:r>
            <w:r w:rsidRPr="00826D87">
              <w:rPr>
                <w:b/>
              </w:rPr>
              <w:t xml:space="preserve">. </w:t>
            </w:r>
            <w:bookmarkEnd w:id="0"/>
            <w:r w:rsidRPr="00826D87">
              <w:rPr>
                <w:b/>
              </w:rPr>
              <w:t>(20 points)</w:t>
            </w:r>
          </w:p>
          <w:p w:rsidR="000432EF" w:rsidRPr="00826D87" w:rsidRDefault="000432EF" w:rsidP="00CA674F">
            <w:pPr>
              <w:pStyle w:val="ListParagraph"/>
              <w:rPr>
                <w:b/>
              </w:rPr>
            </w:pPr>
          </w:p>
          <w:p w:rsidR="000432EF" w:rsidRPr="00826D87" w:rsidRDefault="000432EF" w:rsidP="000432EF">
            <w:pPr>
              <w:pStyle w:val="ListParagraph"/>
              <w:numPr>
                <w:ilvl w:val="1"/>
                <w:numId w:val="25"/>
              </w:numPr>
              <w:rPr>
                <w:b/>
              </w:rPr>
            </w:pPr>
            <w:bookmarkStart w:id="1" w:name="_Hlk483822500"/>
            <w:r w:rsidRPr="00DE4B3F">
              <w:t>Satisfactory experience with prior HUD grants and other public contracts, including satisfactory drawdowns and performance for existing grants as evidenced by timely reimbursement of sub recipients (if applicable), regular drawdowns, timely resolution of monitoring findings, and timely submission of APRs on existing grants.</w:t>
            </w:r>
            <w:bookmarkEnd w:id="1"/>
            <w:r w:rsidRPr="00826D87">
              <w:rPr>
                <w:b/>
              </w:rPr>
              <w:t xml:space="preserve"> (20 points)</w:t>
            </w:r>
          </w:p>
          <w:p w:rsidR="000432EF" w:rsidRPr="00DE4B3F" w:rsidRDefault="000432EF" w:rsidP="00CA674F">
            <w:pPr>
              <w:pStyle w:val="ListParagraph"/>
              <w:ind w:left="360"/>
              <w:rPr>
                <w:b/>
              </w:rPr>
            </w:pPr>
          </w:p>
        </w:tc>
        <w:tc>
          <w:tcPr>
            <w:tcW w:w="1186" w:type="dxa"/>
          </w:tcPr>
          <w:p w:rsidR="000432EF" w:rsidRDefault="000432EF" w:rsidP="00CA674F">
            <w:pPr>
              <w:rPr>
                <w:b/>
              </w:rPr>
            </w:pPr>
            <w:r>
              <w:rPr>
                <w:b/>
              </w:rPr>
              <w:t>40</w:t>
            </w:r>
          </w:p>
          <w:p w:rsidR="000432EF" w:rsidRDefault="000432EF" w:rsidP="00CA674F">
            <w:pPr>
              <w:rPr>
                <w:b/>
              </w:rPr>
            </w:pPr>
          </w:p>
          <w:p w:rsidR="000432EF" w:rsidRPr="00DE4B3F" w:rsidRDefault="000432EF" w:rsidP="00CA674F"/>
        </w:tc>
        <w:tc>
          <w:tcPr>
            <w:tcW w:w="1682" w:type="dxa"/>
          </w:tcPr>
          <w:p w:rsidR="000432EF" w:rsidRPr="00DE4B3F" w:rsidRDefault="000432EF" w:rsidP="00CA674F"/>
        </w:tc>
      </w:tr>
      <w:tr w:rsidR="000432EF" w:rsidRPr="00DE4B3F" w:rsidTr="00CA674F">
        <w:tc>
          <w:tcPr>
            <w:tcW w:w="6464" w:type="dxa"/>
          </w:tcPr>
          <w:p w:rsidR="000432EF" w:rsidRDefault="000432EF" w:rsidP="00CA674F">
            <w:pPr>
              <w:rPr>
                <w:b/>
              </w:rPr>
            </w:pPr>
            <w:r w:rsidRPr="00DE4B3F">
              <w:rPr>
                <w:b/>
              </w:rPr>
              <w:t>Project Quality</w:t>
            </w:r>
          </w:p>
          <w:p w:rsidR="000432EF" w:rsidRDefault="000432EF" w:rsidP="00CA674F">
            <w:pPr>
              <w:rPr>
                <w:b/>
              </w:rPr>
            </w:pPr>
          </w:p>
          <w:p w:rsidR="000432EF" w:rsidRPr="00826D87" w:rsidRDefault="000432EF" w:rsidP="000432EF">
            <w:pPr>
              <w:pStyle w:val="ListParagraph"/>
              <w:numPr>
                <w:ilvl w:val="0"/>
                <w:numId w:val="25"/>
              </w:numPr>
              <w:rPr>
                <w:b/>
              </w:rPr>
            </w:pPr>
            <w:r w:rsidRPr="00826D87">
              <w:rPr>
                <w:b/>
              </w:rPr>
              <w:t>PSH: Prioritizing Highest Need (15 points):</w:t>
            </w:r>
          </w:p>
          <w:p w:rsidR="000432EF" w:rsidRPr="004175B8" w:rsidRDefault="000432EF" w:rsidP="000432EF">
            <w:pPr>
              <w:pStyle w:val="ListParagraph"/>
              <w:numPr>
                <w:ilvl w:val="1"/>
                <w:numId w:val="22"/>
              </w:numPr>
            </w:pPr>
            <w:r w:rsidRPr="00DE4B3F">
              <w:t xml:space="preserve">Does the project target a high priority, literally homeless population? Are all units designated for chronically homeless?  Will participants be offered housing based on their severity of need and length of time homeless? </w:t>
            </w:r>
            <w:r w:rsidRPr="00086E31">
              <w:rPr>
                <w:b/>
              </w:rPr>
              <w:t xml:space="preserve">(9 points) </w:t>
            </w:r>
          </w:p>
          <w:p w:rsidR="000432EF" w:rsidRDefault="000432EF" w:rsidP="000432EF">
            <w:pPr>
              <w:pStyle w:val="ListParagraph"/>
              <w:numPr>
                <w:ilvl w:val="1"/>
                <w:numId w:val="22"/>
              </w:numPr>
            </w:pPr>
            <w:r w:rsidRPr="00DE4B3F">
              <w:t xml:space="preserve">Clearly describes the assessment and process it currently uses to determine severity of need for the chronically homeless. </w:t>
            </w:r>
            <w:r w:rsidRPr="004175B8">
              <w:rPr>
                <w:b/>
              </w:rPr>
              <w:t>(2 points)</w:t>
            </w:r>
            <w:r w:rsidRPr="00DE4B3F">
              <w:t xml:space="preserve"> </w:t>
            </w:r>
          </w:p>
          <w:p w:rsidR="000432EF" w:rsidRDefault="000432EF" w:rsidP="000432EF">
            <w:pPr>
              <w:pStyle w:val="ListParagraph"/>
              <w:numPr>
                <w:ilvl w:val="1"/>
                <w:numId w:val="22"/>
              </w:numPr>
            </w:pPr>
            <w:r w:rsidRPr="00DE4B3F">
              <w:t xml:space="preserve">Clearly describes its process for prioritizing persons with the most severe needs. </w:t>
            </w:r>
            <w:r w:rsidRPr="004175B8">
              <w:rPr>
                <w:b/>
              </w:rPr>
              <w:t>(2 points)</w:t>
            </w:r>
            <w:r w:rsidRPr="00DE4B3F">
              <w:t xml:space="preserve"> </w:t>
            </w:r>
          </w:p>
          <w:p w:rsidR="000432EF" w:rsidRDefault="000432EF" w:rsidP="000432EF">
            <w:pPr>
              <w:pStyle w:val="ListParagraph"/>
              <w:numPr>
                <w:ilvl w:val="1"/>
                <w:numId w:val="22"/>
              </w:numPr>
            </w:pPr>
            <w:r w:rsidRPr="00DE4B3F">
              <w:t xml:space="preserve">Clearly describes the outreach process used to engage chronically homeless persons living on the streets and in shelter. </w:t>
            </w:r>
            <w:r w:rsidRPr="004175B8">
              <w:rPr>
                <w:b/>
              </w:rPr>
              <w:t>(2 points)</w:t>
            </w:r>
            <w:r w:rsidRPr="00DE4B3F">
              <w:t xml:space="preserve"> </w:t>
            </w:r>
          </w:p>
          <w:p w:rsidR="000432EF" w:rsidRDefault="000432EF" w:rsidP="00CA674F">
            <w:pPr>
              <w:pStyle w:val="ListParagraph"/>
            </w:pPr>
          </w:p>
          <w:p w:rsidR="000432EF" w:rsidRDefault="000432EF" w:rsidP="00CA674F">
            <w:pPr>
              <w:pStyle w:val="ListParagraph"/>
              <w:ind w:left="0"/>
            </w:pPr>
            <w:r w:rsidRPr="00DE4B3F">
              <w:rPr>
                <w:b/>
              </w:rPr>
              <w:t>Questions to consider</w:t>
            </w:r>
            <w:r w:rsidRPr="00DE4B3F">
              <w:t xml:space="preserve">: </w:t>
            </w:r>
          </w:p>
          <w:p w:rsidR="000432EF" w:rsidRPr="00DE4B3F" w:rsidRDefault="000432EF" w:rsidP="000432EF">
            <w:pPr>
              <w:pStyle w:val="ListParagraph"/>
              <w:numPr>
                <w:ilvl w:val="0"/>
                <w:numId w:val="26"/>
              </w:numPr>
            </w:pPr>
            <w:r w:rsidRPr="00DE4B3F">
              <w:t xml:space="preserve">Does the applicant demonstrate a clear understanding of the order of priority established in Notice CPD-16-11: Prioritizing Persons Experiencing Chronic Homelessness and Other Vulnerable Homeless Persons? </w:t>
            </w:r>
          </w:p>
          <w:p w:rsidR="000432EF" w:rsidRPr="00DE4B3F" w:rsidRDefault="000432EF" w:rsidP="000432EF">
            <w:pPr>
              <w:pStyle w:val="ListParagraph"/>
              <w:numPr>
                <w:ilvl w:val="0"/>
                <w:numId w:val="26"/>
              </w:numPr>
            </w:pPr>
            <w:r w:rsidRPr="00DE4B3F">
              <w:t xml:space="preserve">Does the applicant describe a specific plan for how the project will participate in the CoC’s coordinated entry system? </w:t>
            </w:r>
          </w:p>
          <w:p w:rsidR="000432EF" w:rsidRPr="00DE4B3F" w:rsidRDefault="000432EF" w:rsidP="000432EF">
            <w:pPr>
              <w:pStyle w:val="ListParagraph"/>
              <w:numPr>
                <w:ilvl w:val="0"/>
                <w:numId w:val="26"/>
              </w:numPr>
            </w:pPr>
            <w:r w:rsidRPr="00DE4B3F">
              <w:t xml:space="preserve">Does the applicant describe a plan for an outreach process to engage those persons that is that is adequate and consistent with the Notice? </w:t>
            </w:r>
          </w:p>
          <w:p w:rsidR="000432EF" w:rsidRDefault="000432EF" w:rsidP="000432EF">
            <w:pPr>
              <w:pStyle w:val="ListParagraph"/>
              <w:numPr>
                <w:ilvl w:val="0"/>
                <w:numId w:val="26"/>
              </w:numPr>
            </w:pPr>
            <w:r w:rsidRPr="00DE4B3F">
              <w:t>Does the applicant identify specific and appropriate programs (street outreach, shelters) from which it obtains referrals of potential eligible program participants that will ensure the project operates at full capacity and that eligible persons are served with the most severe needs are served?</w:t>
            </w:r>
          </w:p>
          <w:p w:rsidR="000432EF" w:rsidRPr="00DE4B3F" w:rsidRDefault="000432EF" w:rsidP="00CA674F">
            <w:pPr>
              <w:pStyle w:val="ListParagraph"/>
              <w:ind w:left="180" w:hanging="180"/>
            </w:pPr>
          </w:p>
          <w:p w:rsidR="000432EF" w:rsidRDefault="000432EF" w:rsidP="000432EF">
            <w:pPr>
              <w:pStyle w:val="ListParagraph"/>
              <w:numPr>
                <w:ilvl w:val="0"/>
                <w:numId w:val="25"/>
              </w:numPr>
              <w:rPr>
                <w:b/>
              </w:rPr>
            </w:pPr>
            <w:r w:rsidRPr="00DE4B3F">
              <w:rPr>
                <w:b/>
              </w:rPr>
              <w:t xml:space="preserve">RRH and TH-RRH: </w:t>
            </w:r>
          </w:p>
          <w:p w:rsidR="000432EF" w:rsidRPr="00DE4B3F" w:rsidRDefault="000432EF" w:rsidP="00CA674F">
            <w:pPr>
              <w:pStyle w:val="ListParagraph"/>
              <w:ind w:left="360"/>
              <w:rPr>
                <w:b/>
              </w:rPr>
            </w:pPr>
            <w:r w:rsidRPr="00DE4B3F">
              <w:rPr>
                <w:b/>
              </w:rPr>
              <w:t xml:space="preserve">Effective outreach and placement system (15 points) </w:t>
            </w:r>
          </w:p>
          <w:p w:rsidR="000432EF" w:rsidRPr="00DE4B3F" w:rsidRDefault="000432EF" w:rsidP="00CA674F">
            <w:pPr>
              <w:pStyle w:val="ListParagraph"/>
              <w:ind w:left="360"/>
              <w:rPr>
                <w:b/>
              </w:rPr>
            </w:pPr>
            <w:r w:rsidRPr="00DE4B3F">
              <w:rPr>
                <w:b/>
              </w:rPr>
              <w:t>Extent to which the applicant:</w:t>
            </w:r>
          </w:p>
          <w:p w:rsidR="000432EF" w:rsidRPr="00DE4B3F" w:rsidRDefault="000432EF" w:rsidP="000432EF">
            <w:pPr>
              <w:pStyle w:val="ListParagraph"/>
              <w:numPr>
                <w:ilvl w:val="1"/>
                <w:numId w:val="25"/>
              </w:numPr>
              <w:rPr>
                <w:b/>
              </w:rPr>
            </w:pPr>
            <w:r w:rsidRPr="00DE4B3F">
              <w:t xml:space="preserve">Describes how its activities will be targeted toward literally homeless individuals and families. If coordinated entry is operational, the applicant should describe how it will receive referrals and provide notification of available </w:t>
            </w:r>
            <w:r w:rsidRPr="00DE4B3F">
              <w:rPr>
                <w:b/>
              </w:rPr>
              <w:t xml:space="preserve">(5 points) </w:t>
            </w:r>
          </w:p>
          <w:p w:rsidR="000432EF" w:rsidRDefault="000432EF" w:rsidP="000432EF">
            <w:pPr>
              <w:pStyle w:val="ListParagraph"/>
              <w:numPr>
                <w:ilvl w:val="1"/>
                <w:numId w:val="25"/>
              </w:numPr>
              <w:rPr>
                <w:b/>
              </w:rPr>
            </w:pPr>
            <w:r w:rsidRPr="00DE4B3F">
              <w:t xml:space="preserve">Clearly describes how households will be assisted to obtain housing as quickly as possible. </w:t>
            </w:r>
            <w:r w:rsidRPr="00DE4B3F">
              <w:rPr>
                <w:b/>
              </w:rPr>
              <w:t xml:space="preserve"> (10 points)</w:t>
            </w:r>
          </w:p>
          <w:p w:rsidR="000432EF" w:rsidRPr="00DE4B3F" w:rsidRDefault="000432EF" w:rsidP="00CA674F">
            <w:pPr>
              <w:pStyle w:val="ListParagraph"/>
              <w:rPr>
                <w:b/>
              </w:rPr>
            </w:pPr>
          </w:p>
          <w:p w:rsidR="000432EF" w:rsidRPr="00DE4B3F" w:rsidRDefault="000432EF" w:rsidP="00CA674F">
            <w:pPr>
              <w:pStyle w:val="ListParagraph"/>
              <w:ind w:left="0"/>
              <w:rPr>
                <w:b/>
              </w:rPr>
            </w:pPr>
            <w:r w:rsidRPr="00DE4B3F">
              <w:rPr>
                <w:b/>
              </w:rPr>
              <w:t>Questions to consider</w:t>
            </w:r>
          </w:p>
          <w:p w:rsidR="000432EF" w:rsidRDefault="000432EF" w:rsidP="000432EF">
            <w:pPr>
              <w:pStyle w:val="ListParagraph"/>
              <w:numPr>
                <w:ilvl w:val="2"/>
                <w:numId w:val="23"/>
              </w:numPr>
              <w:ind w:left="360"/>
            </w:pPr>
            <w:r>
              <w:t>Does the applicant describe a specific and viable plan for how the project will participate in the CoC’s coordinated entry system? If coordinated entry is not operational in the applicant’s area, does the applicant demonstrate that all participants will be literally homeless prior to entry?</w:t>
            </w:r>
          </w:p>
          <w:p w:rsidR="000432EF" w:rsidRDefault="000432EF" w:rsidP="000432EF">
            <w:pPr>
              <w:pStyle w:val="ListParagraph"/>
              <w:numPr>
                <w:ilvl w:val="2"/>
                <w:numId w:val="23"/>
              </w:numPr>
              <w:ind w:left="360"/>
            </w:pPr>
            <w:r>
              <w:t>How will participants obtain housing? What assistance is provided?</w:t>
            </w:r>
          </w:p>
          <w:p w:rsidR="000432EF" w:rsidRDefault="000432EF" w:rsidP="000432EF">
            <w:pPr>
              <w:pStyle w:val="ListParagraph"/>
              <w:numPr>
                <w:ilvl w:val="2"/>
                <w:numId w:val="23"/>
              </w:numPr>
              <w:ind w:left="360"/>
            </w:pPr>
            <w:r>
              <w:t>How will TH-RRH projects ensure that participants remain in TH for as short a period of time as possible?</w:t>
            </w:r>
          </w:p>
          <w:p w:rsidR="000432EF" w:rsidRPr="00DE4B3F" w:rsidRDefault="000432EF" w:rsidP="00CA674F">
            <w:pPr>
              <w:pStyle w:val="ListParagraph"/>
              <w:ind w:left="360"/>
            </w:pPr>
          </w:p>
        </w:tc>
        <w:tc>
          <w:tcPr>
            <w:tcW w:w="1186" w:type="dxa"/>
          </w:tcPr>
          <w:p w:rsidR="000432EF" w:rsidRDefault="000432EF" w:rsidP="00CA674F">
            <w:pPr>
              <w:rPr>
                <w:b/>
              </w:rPr>
            </w:pPr>
          </w:p>
          <w:p w:rsidR="000432EF" w:rsidRDefault="000432EF" w:rsidP="00CA674F">
            <w:pPr>
              <w:rPr>
                <w:b/>
              </w:rPr>
            </w:pPr>
          </w:p>
          <w:p w:rsidR="000432EF" w:rsidRPr="00DE4B3F" w:rsidRDefault="000432EF" w:rsidP="00CA674F">
            <w:pPr>
              <w:rPr>
                <w:b/>
              </w:rPr>
            </w:pPr>
            <w:r w:rsidRPr="00DE4B3F">
              <w:rPr>
                <w:b/>
              </w:rPr>
              <w:t>15</w:t>
            </w: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Default="000432EF" w:rsidP="00CA674F">
            <w:pPr>
              <w:rPr>
                <w:b/>
              </w:rPr>
            </w:pPr>
          </w:p>
          <w:p w:rsidR="000432EF" w:rsidRDefault="000432EF" w:rsidP="00CA674F">
            <w:pPr>
              <w:rPr>
                <w:b/>
              </w:rPr>
            </w:pPr>
          </w:p>
          <w:p w:rsidR="000432EF" w:rsidRPr="00DE4B3F" w:rsidRDefault="000432EF" w:rsidP="00CA674F">
            <w:pPr>
              <w:rPr>
                <w:b/>
              </w:rPr>
            </w:pPr>
            <w:r w:rsidRPr="00DE4B3F">
              <w:rPr>
                <w:b/>
              </w:rPr>
              <w:t>15</w:t>
            </w:r>
          </w:p>
        </w:tc>
        <w:tc>
          <w:tcPr>
            <w:tcW w:w="1682" w:type="dxa"/>
          </w:tcPr>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Pr>
              <w:rPr>
                <w:b/>
              </w:rPr>
            </w:pPr>
          </w:p>
          <w:p w:rsidR="000432EF" w:rsidRPr="00DE4B3F" w:rsidRDefault="000432EF" w:rsidP="00CA674F"/>
          <w:p w:rsidR="000432EF" w:rsidRPr="00DE4B3F" w:rsidRDefault="000432EF" w:rsidP="00CA674F">
            <w:pPr>
              <w:rPr>
                <w:b/>
              </w:rPr>
            </w:pPr>
          </w:p>
        </w:tc>
      </w:tr>
      <w:tr w:rsidR="000432EF" w:rsidRPr="00DE4B3F" w:rsidTr="00CA674F">
        <w:tc>
          <w:tcPr>
            <w:tcW w:w="6464" w:type="dxa"/>
          </w:tcPr>
          <w:p w:rsidR="000432EF" w:rsidRPr="00AE24E0" w:rsidRDefault="000432EF" w:rsidP="000432EF">
            <w:pPr>
              <w:pStyle w:val="ListParagraph"/>
              <w:numPr>
                <w:ilvl w:val="0"/>
                <w:numId w:val="25"/>
              </w:numPr>
              <w:rPr>
                <w:b/>
              </w:rPr>
            </w:pPr>
            <w:r w:rsidRPr="00AE24E0">
              <w:rPr>
                <w:b/>
              </w:rPr>
              <w:t>Housing First (15 points)</w:t>
            </w:r>
          </w:p>
          <w:p w:rsidR="000432EF" w:rsidRDefault="000432EF" w:rsidP="00CA674F">
            <w:pPr>
              <w:ind w:left="360"/>
              <w:rPr>
                <w:b/>
              </w:rPr>
            </w:pPr>
            <w:r w:rsidRPr="00AE24E0">
              <w:rPr>
                <w:b/>
              </w:rPr>
              <w:t xml:space="preserve">Extent to which the applicant: </w:t>
            </w:r>
          </w:p>
          <w:p w:rsidR="000432EF" w:rsidRPr="00DE4B3F" w:rsidRDefault="000432EF" w:rsidP="000432EF">
            <w:pPr>
              <w:pStyle w:val="ListParagraph"/>
              <w:numPr>
                <w:ilvl w:val="1"/>
                <w:numId w:val="16"/>
              </w:numPr>
              <w:rPr>
                <w:b/>
              </w:rPr>
            </w:pPr>
            <w:r w:rsidRPr="00DE4B3F">
              <w:t>Has successfully operated a program that is based on Housing First principles</w:t>
            </w:r>
            <w:r w:rsidRPr="00DE4B3F">
              <w:rPr>
                <w:b/>
              </w:rPr>
              <w:t>. (5 points)</w:t>
            </w:r>
          </w:p>
          <w:p w:rsidR="000432EF" w:rsidRDefault="000432EF" w:rsidP="000432EF">
            <w:pPr>
              <w:pStyle w:val="ListParagraph"/>
              <w:numPr>
                <w:ilvl w:val="1"/>
                <w:numId w:val="16"/>
              </w:numPr>
              <w:rPr>
                <w:b/>
              </w:rPr>
            </w:pPr>
            <w:r w:rsidRPr="00DE4B3F">
              <w:t>Clearly describes a program design that is consistent with a Housing First approach (i.e., A model of housing assistance that is offered without preconditions, such as sobriety or a minimum income threshold, or service participation requirements, and rapid placement and stabilization in permanent housing are primary goals. Participants are only terminated from the program based on violation of standard lease terms not due to program requirements.)</w:t>
            </w:r>
            <w:r w:rsidRPr="00DE4B3F">
              <w:rPr>
                <w:b/>
              </w:rPr>
              <w:t xml:space="preserve"> (10 points)</w:t>
            </w:r>
          </w:p>
          <w:p w:rsidR="000432EF" w:rsidRPr="00DE4B3F" w:rsidRDefault="000432EF" w:rsidP="00CA674F">
            <w:pPr>
              <w:pStyle w:val="ListParagraph"/>
              <w:rPr>
                <w:b/>
              </w:rPr>
            </w:pPr>
          </w:p>
          <w:p w:rsidR="000432EF" w:rsidRPr="00DE4B3F" w:rsidRDefault="000432EF" w:rsidP="00CA674F">
            <w:pPr>
              <w:pStyle w:val="ListParagraph"/>
              <w:ind w:left="0"/>
              <w:rPr>
                <w:b/>
              </w:rPr>
            </w:pPr>
            <w:r w:rsidRPr="00DE4B3F">
              <w:rPr>
                <w:b/>
              </w:rPr>
              <w:t>Questions to consider:</w:t>
            </w:r>
          </w:p>
          <w:p w:rsidR="000432EF" w:rsidRPr="00AE24E0" w:rsidRDefault="000432EF" w:rsidP="000432EF">
            <w:pPr>
              <w:pStyle w:val="ListParagraph"/>
              <w:numPr>
                <w:ilvl w:val="0"/>
                <w:numId w:val="24"/>
              </w:numPr>
              <w:rPr>
                <w:b/>
              </w:rPr>
            </w:pPr>
            <w:r w:rsidRPr="00DE4B3F">
              <w:t>Extent of experience and outcomes of projects operated by applicant that follow Housing First.</w:t>
            </w:r>
          </w:p>
          <w:p w:rsidR="000432EF" w:rsidRPr="00AE24E0" w:rsidRDefault="000432EF" w:rsidP="000432EF">
            <w:pPr>
              <w:pStyle w:val="ListParagraph"/>
              <w:numPr>
                <w:ilvl w:val="0"/>
                <w:numId w:val="24"/>
              </w:numPr>
              <w:rPr>
                <w:b/>
              </w:rPr>
            </w:pPr>
            <w:r w:rsidRPr="00DE4B3F">
              <w:t>Does the applicant clearly demonstrate a model that offers initial access to housing without preconditions, such as sobriety, creditworthiness, income requirements and service participation?</w:t>
            </w:r>
          </w:p>
          <w:p w:rsidR="000432EF" w:rsidRPr="00AE24E0" w:rsidRDefault="000432EF" w:rsidP="000432EF">
            <w:pPr>
              <w:pStyle w:val="ListParagraph"/>
              <w:numPr>
                <w:ilvl w:val="0"/>
                <w:numId w:val="24"/>
              </w:numPr>
              <w:rPr>
                <w:b/>
              </w:rPr>
            </w:pPr>
            <w:r w:rsidRPr="00DE4B3F">
              <w:t>Does the applicant clearly demonstrate a model in which continuation of housing is not contingent on service participation requirements or compliance?</w:t>
            </w:r>
            <w:r w:rsidRPr="00AE24E0">
              <w:rPr>
                <w:b/>
              </w:rPr>
              <w:t xml:space="preserve"> </w:t>
            </w:r>
          </w:p>
          <w:p w:rsidR="000432EF" w:rsidRPr="00AE24E0" w:rsidRDefault="000432EF" w:rsidP="000432EF">
            <w:pPr>
              <w:pStyle w:val="ListParagraph"/>
              <w:numPr>
                <w:ilvl w:val="0"/>
                <w:numId w:val="24"/>
              </w:numPr>
              <w:rPr>
                <w:b/>
              </w:rPr>
            </w:pPr>
            <w:r w:rsidRPr="00DE4B3F">
              <w:t>Does the applicant clearly demonstrate that rapid placement and stabilization in permanent housing are primary goals of the project?</w:t>
            </w:r>
            <w:r w:rsidRPr="00AE24E0">
              <w:rPr>
                <w:b/>
              </w:rPr>
              <w:t xml:space="preserve"> </w:t>
            </w:r>
          </w:p>
          <w:p w:rsidR="000432EF" w:rsidRPr="00AE24E0" w:rsidRDefault="000432EF" w:rsidP="000432EF">
            <w:pPr>
              <w:pStyle w:val="ListParagraph"/>
              <w:numPr>
                <w:ilvl w:val="0"/>
                <w:numId w:val="24"/>
              </w:numPr>
              <w:rPr>
                <w:b/>
              </w:rPr>
            </w:pPr>
            <w:r w:rsidRPr="00DE4B3F">
              <w:t>Does the applicant clearly describe a project design that is adequate to accomplish those goals?</w:t>
            </w:r>
            <w:r w:rsidRPr="00AE24E0">
              <w:rPr>
                <w:b/>
              </w:rPr>
              <w:t xml:space="preserve"> </w:t>
            </w:r>
          </w:p>
          <w:p w:rsidR="000432EF" w:rsidRDefault="000432EF" w:rsidP="000432EF">
            <w:pPr>
              <w:pStyle w:val="ListParagraph"/>
              <w:numPr>
                <w:ilvl w:val="0"/>
                <w:numId w:val="24"/>
              </w:numPr>
            </w:pPr>
            <w:r w:rsidRPr="00DE4B3F">
              <w:t>Does the applicant clearly demonstrate a model in which participants are expected to comply with a lease agreement and are provided with services and supports to help maintain housing and prevent eviction?</w:t>
            </w:r>
          </w:p>
          <w:p w:rsidR="000432EF" w:rsidRDefault="000432EF" w:rsidP="00CA674F"/>
          <w:p w:rsidR="000432EF" w:rsidRDefault="000432EF" w:rsidP="00CA674F"/>
          <w:p w:rsidR="000432EF" w:rsidRDefault="000432EF" w:rsidP="00CA674F"/>
          <w:p w:rsidR="000432EF" w:rsidRDefault="000432EF" w:rsidP="00CA674F"/>
          <w:p w:rsidR="000432EF" w:rsidRPr="00DE4B3F" w:rsidRDefault="000432EF" w:rsidP="00CA674F"/>
        </w:tc>
        <w:tc>
          <w:tcPr>
            <w:tcW w:w="1186" w:type="dxa"/>
          </w:tcPr>
          <w:p w:rsidR="000432EF" w:rsidRPr="00AE24E0" w:rsidRDefault="000432EF" w:rsidP="00CA674F">
            <w:pPr>
              <w:rPr>
                <w:b/>
              </w:rPr>
            </w:pPr>
            <w:r w:rsidRPr="00AE24E0">
              <w:rPr>
                <w:b/>
              </w:rPr>
              <w:t>15</w:t>
            </w:r>
          </w:p>
        </w:tc>
        <w:tc>
          <w:tcPr>
            <w:tcW w:w="1682" w:type="dxa"/>
          </w:tcPr>
          <w:p w:rsidR="000432EF" w:rsidRPr="00DE4B3F" w:rsidRDefault="000432EF" w:rsidP="00CA674F"/>
        </w:tc>
      </w:tr>
      <w:tr w:rsidR="000432EF" w:rsidRPr="00DE4B3F" w:rsidTr="00CA674F">
        <w:tc>
          <w:tcPr>
            <w:tcW w:w="6464" w:type="dxa"/>
          </w:tcPr>
          <w:p w:rsidR="000432EF" w:rsidRPr="00AE24E0" w:rsidRDefault="000432EF" w:rsidP="000432EF">
            <w:pPr>
              <w:pStyle w:val="ListParagraph"/>
              <w:numPr>
                <w:ilvl w:val="0"/>
                <w:numId w:val="25"/>
              </w:numPr>
              <w:rPr>
                <w:b/>
              </w:rPr>
            </w:pPr>
            <w:r>
              <w:rPr>
                <w:b/>
              </w:rPr>
              <w:t>Services Program (15</w:t>
            </w:r>
            <w:r w:rsidRPr="00AE24E0">
              <w:rPr>
                <w:b/>
              </w:rPr>
              <w:t xml:space="preserve"> points)</w:t>
            </w:r>
          </w:p>
          <w:p w:rsidR="000432EF" w:rsidRPr="00DE4B3F" w:rsidRDefault="000432EF" w:rsidP="00CA674F">
            <w:pPr>
              <w:ind w:left="360"/>
              <w:rPr>
                <w:b/>
              </w:rPr>
            </w:pPr>
            <w:r>
              <w:rPr>
                <w:b/>
              </w:rPr>
              <w:t>Extent to which the applicant:</w:t>
            </w:r>
          </w:p>
          <w:p w:rsidR="000432EF" w:rsidRPr="00AE24E0" w:rsidRDefault="000432EF" w:rsidP="000432EF">
            <w:pPr>
              <w:pStyle w:val="ListParagraph"/>
              <w:numPr>
                <w:ilvl w:val="1"/>
                <w:numId w:val="25"/>
              </w:numPr>
              <w:rPr>
                <w:b/>
              </w:rPr>
            </w:pPr>
            <w:r w:rsidRPr="00DE4B3F">
              <w:t xml:space="preserve">Clearly describes how it will assist participants to remain stably housed.  Describes how case management services will be provided to participants. </w:t>
            </w:r>
            <w:r>
              <w:rPr>
                <w:b/>
              </w:rPr>
              <w:t>(5</w:t>
            </w:r>
            <w:r w:rsidRPr="00826D87">
              <w:rPr>
                <w:b/>
              </w:rPr>
              <w:t xml:space="preserve"> points)</w:t>
            </w:r>
          </w:p>
          <w:p w:rsidR="000432EF" w:rsidRPr="00826D87" w:rsidRDefault="000432EF" w:rsidP="000432EF">
            <w:pPr>
              <w:pStyle w:val="ListParagraph"/>
              <w:numPr>
                <w:ilvl w:val="1"/>
                <w:numId w:val="25"/>
              </w:numPr>
              <w:rPr>
                <w:b/>
              </w:rPr>
            </w:pPr>
            <w:r w:rsidRPr="00DE4B3F">
              <w:t>Has a plan to increase participant’s incomes through employmen</w:t>
            </w:r>
            <w:r>
              <w:t>t and/or benefit income and/or d</w:t>
            </w:r>
            <w:r w:rsidRPr="00DE4B3F">
              <w:t xml:space="preserve">escribes how disabled persons will be assisted in obtaining benefits and services. </w:t>
            </w:r>
            <w:r>
              <w:rPr>
                <w:b/>
              </w:rPr>
              <w:t>(10</w:t>
            </w:r>
            <w:r w:rsidRPr="00826D87">
              <w:rPr>
                <w:b/>
              </w:rPr>
              <w:t xml:space="preserve"> points)</w:t>
            </w:r>
          </w:p>
          <w:p w:rsidR="000432EF" w:rsidRPr="00AE24E0" w:rsidRDefault="000432EF" w:rsidP="00CA674F">
            <w:pPr>
              <w:pStyle w:val="ListParagraph"/>
              <w:rPr>
                <w:b/>
              </w:rPr>
            </w:pPr>
          </w:p>
          <w:p w:rsidR="000432EF" w:rsidRPr="00DE4B3F" w:rsidRDefault="000432EF" w:rsidP="00CA674F">
            <w:pPr>
              <w:rPr>
                <w:b/>
              </w:rPr>
            </w:pPr>
            <w:r w:rsidRPr="00DE4B3F">
              <w:rPr>
                <w:b/>
              </w:rPr>
              <w:t>Questions to consider:</w:t>
            </w:r>
          </w:p>
          <w:p w:rsidR="000432EF" w:rsidRPr="00DE4B3F" w:rsidRDefault="000432EF" w:rsidP="000432EF">
            <w:pPr>
              <w:pStyle w:val="ListParagraph"/>
              <w:numPr>
                <w:ilvl w:val="0"/>
                <w:numId w:val="17"/>
              </w:numPr>
            </w:pPr>
            <w:r w:rsidRPr="00DE4B3F">
              <w:t>Does the applicant describe how case managers will assist participants in maintaining housing stability? Does it indicate any evidence based practices that will be employed? Does the application provide information on the frequency of contact with case managers and process for developing and updating a housing stability plan for all participants?</w:t>
            </w:r>
          </w:p>
          <w:p w:rsidR="000432EF" w:rsidRDefault="000432EF" w:rsidP="000432EF">
            <w:pPr>
              <w:pStyle w:val="ListParagraph"/>
              <w:numPr>
                <w:ilvl w:val="0"/>
                <w:numId w:val="17"/>
              </w:numPr>
            </w:pPr>
            <w:r w:rsidRPr="00DE4B3F">
              <w:t>Does the applicant provide a plan for how the participants will increase or maintain their income (either through employment or assistance in obtaining benefits) and how participants will be connected to employment or other meaningful activity?</w:t>
            </w:r>
          </w:p>
          <w:p w:rsidR="000432EF" w:rsidRPr="00DE4B3F" w:rsidRDefault="000432EF" w:rsidP="00CA674F">
            <w:pPr>
              <w:pStyle w:val="ListParagraph"/>
              <w:ind w:left="360"/>
            </w:pPr>
          </w:p>
          <w:p w:rsidR="000432EF" w:rsidRPr="00DE4B3F" w:rsidRDefault="000432EF" w:rsidP="00CA674F">
            <w:pPr>
              <w:rPr>
                <w:b/>
              </w:rPr>
            </w:pPr>
          </w:p>
        </w:tc>
        <w:tc>
          <w:tcPr>
            <w:tcW w:w="1186" w:type="dxa"/>
          </w:tcPr>
          <w:p w:rsidR="000432EF" w:rsidRPr="00826D87" w:rsidRDefault="000432EF" w:rsidP="00CA674F">
            <w:pPr>
              <w:rPr>
                <w:b/>
              </w:rPr>
            </w:pPr>
            <w:r>
              <w:rPr>
                <w:b/>
              </w:rPr>
              <w:t>15</w:t>
            </w:r>
          </w:p>
          <w:p w:rsidR="000432EF" w:rsidRPr="00DE4B3F" w:rsidRDefault="000432EF" w:rsidP="00CA674F"/>
          <w:p w:rsidR="000432EF" w:rsidRPr="00DE4B3F" w:rsidRDefault="000432EF" w:rsidP="00CA674F"/>
        </w:tc>
        <w:tc>
          <w:tcPr>
            <w:tcW w:w="1682" w:type="dxa"/>
          </w:tcPr>
          <w:p w:rsidR="000432EF" w:rsidRPr="00DE4B3F" w:rsidRDefault="000432EF" w:rsidP="00CA674F"/>
        </w:tc>
      </w:tr>
      <w:tr w:rsidR="000432EF" w:rsidRPr="00DE4B3F" w:rsidTr="00CA674F">
        <w:tc>
          <w:tcPr>
            <w:tcW w:w="6464" w:type="dxa"/>
            <w:shd w:val="clear" w:color="auto" w:fill="E2EFD9" w:themeFill="accent6" w:themeFillTint="33"/>
          </w:tcPr>
          <w:p w:rsidR="000432EF" w:rsidRDefault="000432EF" w:rsidP="00CA674F">
            <w:pPr>
              <w:pStyle w:val="ListParagraph"/>
              <w:ind w:left="0"/>
              <w:rPr>
                <w:b/>
              </w:rPr>
            </w:pPr>
            <w:r>
              <w:rPr>
                <w:b/>
              </w:rPr>
              <w:t>Bonus Questions:</w:t>
            </w:r>
          </w:p>
          <w:p w:rsidR="000432EF" w:rsidRDefault="000432EF" w:rsidP="00CA674F">
            <w:pPr>
              <w:pStyle w:val="ListParagraph"/>
              <w:ind w:left="0"/>
              <w:rPr>
                <w:b/>
              </w:rPr>
            </w:pPr>
          </w:p>
          <w:p w:rsidR="000432EF" w:rsidRPr="0042373E" w:rsidRDefault="000432EF" w:rsidP="000432EF">
            <w:pPr>
              <w:pStyle w:val="ListParagraph"/>
              <w:numPr>
                <w:ilvl w:val="0"/>
                <w:numId w:val="25"/>
              </w:numPr>
              <w:rPr>
                <w:b/>
              </w:rPr>
            </w:pPr>
            <w:r>
              <w:rPr>
                <w:b/>
              </w:rPr>
              <w:t xml:space="preserve">HMIS and </w:t>
            </w:r>
            <w:r w:rsidRPr="0042373E">
              <w:rPr>
                <w:b/>
              </w:rPr>
              <w:t>SSO for Coordinated Entry Need</w:t>
            </w:r>
            <w:r>
              <w:rPr>
                <w:b/>
              </w:rPr>
              <w:t xml:space="preserve"> </w:t>
            </w:r>
            <w:r w:rsidRPr="0042373E">
              <w:rPr>
                <w:b/>
              </w:rPr>
              <w:t>(up to 20 points)</w:t>
            </w:r>
          </w:p>
          <w:p w:rsidR="000432EF" w:rsidRDefault="000432EF" w:rsidP="00CA674F">
            <w:pPr>
              <w:ind w:left="360"/>
            </w:pPr>
            <w:r w:rsidRPr="003F6869">
              <w:t>Does applicant provide a clear and compelling description as to why the expansion in services is needed and how the expanded project will benefit the CoC.</w:t>
            </w:r>
          </w:p>
          <w:p w:rsidR="000432EF" w:rsidRDefault="000432EF" w:rsidP="00CA674F">
            <w:pPr>
              <w:ind w:left="360"/>
            </w:pPr>
          </w:p>
          <w:p w:rsidR="000432EF" w:rsidRPr="003F6869" w:rsidRDefault="000432EF" w:rsidP="000432EF">
            <w:pPr>
              <w:pStyle w:val="ListParagraph"/>
              <w:numPr>
                <w:ilvl w:val="0"/>
                <w:numId w:val="25"/>
              </w:numPr>
            </w:pPr>
            <w:r w:rsidRPr="0042373E">
              <w:rPr>
                <w:b/>
              </w:rPr>
              <w:t>Project Quality (up to 40 points)</w:t>
            </w:r>
          </w:p>
          <w:p w:rsidR="000432EF" w:rsidRDefault="000432EF" w:rsidP="00CA674F">
            <w:pPr>
              <w:ind w:left="360"/>
            </w:pPr>
            <w:r w:rsidRPr="003F6869">
              <w:t>Does the applicant provide a clear description of the additional services to be provided, does the applicant demonstrate a capacity to implement and manage the expanded project; and will the project contribute to system performance improvements?</w:t>
            </w:r>
          </w:p>
          <w:p w:rsidR="000432EF" w:rsidRPr="0042373E" w:rsidRDefault="000432EF" w:rsidP="00CA674F">
            <w:pPr>
              <w:rPr>
                <w:b/>
              </w:rPr>
            </w:pPr>
          </w:p>
        </w:tc>
        <w:tc>
          <w:tcPr>
            <w:tcW w:w="1186" w:type="dxa"/>
            <w:shd w:val="clear" w:color="auto" w:fill="E2EFD9" w:themeFill="accent6" w:themeFillTint="33"/>
          </w:tcPr>
          <w:p w:rsidR="000432EF" w:rsidRDefault="000432EF" w:rsidP="00CA674F">
            <w:pPr>
              <w:rPr>
                <w:b/>
              </w:rPr>
            </w:pPr>
          </w:p>
          <w:p w:rsidR="000432EF" w:rsidRDefault="000432EF" w:rsidP="00CA674F">
            <w:pPr>
              <w:rPr>
                <w:b/>
              </w:rPr>
            </w:pPr>
            <w:r>
              <w:rPr>
                <w:b/>
              </w:rPr>
              <w:t>20</w:t>
            </w:r>
          </w:p>
          <w:p w:rsidR="000432EF" w:rsidRDefault="000432EF" w:rsidP="00CA674F">
            <w:pPr>
              <w:rPr>
                <w:b/>
              </w:rPr>
            </w:pPr>
          </w:p>
          <w:p w:rsidR="000432EF" w:rsidRDefault="000432EF" w:rsidP="00CA674F">
            <w:pPr>
              <w:rPr>
                <w:b/>
              </w:rPr>
            </w:pPr>
          </w:p>
          <w:p w:rsidR="000432EF" w:rsidRDefault="000432EF" w:rsidP="00CA674F">
            <w:pPr>
              <w:rPr>
                <w:b/>
              </w:rPr>
            </w:pPr>
          </w:p>
          <w:p w:rsidR="000432EF" w:rsidRDefault="000432EF" w:rsidP="00CA674F">
            <w:pPr>
              <w:rPr>
                <w:b/>
              </w:rPr>
            </w:pPr>
          </w:p>
          <w:p w:rsidR="000432EF" w:rsidRDefault="000432EF" w:rsidP="00CA674F">
            <w:pPr>
              <w:rPr>
                <w:b/>
              </w:rPr>
            </w:pPr>
          </w:p>
          <w:p w:rsidR="000432EF" w:rsidRPr="00826D87" w:rsidRDefault="000432EF" w:rsidP="00CA674F">
            <w:pPr>
              <w:rPr>
                <w:b/>
              </w:rPr>
            </w:pPr>
            <w:r>
              <w:rPr>
                <w:b/>
              </w:rPr>
              <w:t>40</w:t>
            </w:r>
          </w:p>
        </w:tc>
        <w:tc>
          <w:tcPr>
            <w:tcW w:w="1682" w:type="dxa"/>
            <w:shd w:val="clear" w:color="auto" w:fill="E2EFD9" w:themeFill="accent6" w:themeFillTint="33"/>
          </w:tcPr>
          <w:p w:rsidR="000432EF" w:rsidRPr="00DE4B3F" w:rsidRDefault="000432EF" w:rsidP="00CA674F"/>
        </w:tc>
      </w:tr>
      <w:tr w:rsidR="000432EF" w:rsidRPr="00DE4B3F" w:rsidTr="00CA674F">
        <w:tc>
          <w:tcPr>
            <w:tcW w:w="6464" w:type="dxa"/>
            <w:shd w:val="clear" w:color="auto" w:fill="F7CAAC" w:themeFill="accent2" w:themeFillTint="66"/>
          </w:tcPr>
          <w:p w:rsidR="000432EF" w:rsidRDefault="000432EF" w:rsidP="00CA674F">
            <w:pPr>
              <w:rPr>
                <w:b/>
              </w:rPr>
            </w:pPr>
            <w:r w:rsidRPr="00DE4B3F">
              <w:rPr>
                <w:b/>
              </w:rPr>
              <w:t>To</w:t>
            </w:r>
            <w:r>
              <w:rPr>
                <w:b/>
              </w:rPr>
              <w:t xml:space="preserve">tal Score Awarded </w:t>
            </w:r>
          </w:p>
          <w:p w:rsidR="000432EF" w:rsidRPr="00DE4B3F" w:rsidRDefault="000432EF" w:rsidP="00CA674F">
            <w:pPr>
              <w:rPr>
                <w:b/>
              </w:rPr>
            </w:pPr>
          </w:p>
        </w:tc>
        <w:tc>
          <w:tcPr>
            <w:tcW w:w="1186" w:type="dxa"/>
            <w:shd w:val="clear" w:color="auto" w:fill="F7CAAC" w:themeFill="accent2" w:themeFillTint="66"/>
          </w:tcPr>
          <w:p w:rsidR="000432EF" w:rsidRPr="00DE4B3F" w:rsidRDefault="000432EF" w:rsidP="00CA674F">
            <w:pPr>
              <w:rPr>
                <w:b/>
              </w:rPr>
            </w:pPr>
          </w:p>
        </w:tc>
        <w:tc>
          <w:tcPr>
            <w:tcW w:w="1682" w:type="dxa"/>
            <w:shd w:val="clear" w:color="auto" w:fill="F7CAAC" w:themeFill="accent2" w:themeFillTint="66"/>
          </w:tcPr>
          <w:p w:rsidR="000432EF" w:rsidRPr="00DE4B3F" w:rsidRDefault="000432EF" w:rsidP="00CA674F">
            <w:pPr>
              <w:rPr>
                <w:b/>
              </w:rPr>
            </w:pPr>
            <w:r w:rsidRPr="00DE4B3F">
              <w:rPr>
                <w:b/>
              </w:rPr>
              <w:fldChar w:fldCharType="begin"/>
            </w:r>
            <w:r w:rsidRPr="00DE4B3F">
              <w:rPr>
                <w:b/>
              </w:rPr>
              <w:instrText xml:space="preserve"> =SUM(ABOVE) </w:instrText>
            </w:r>
            <w:r w:rsidRPr="00DE4B3F">
              <w:rPr>
                <w:b/>
              </w:rPr>
              <w:fldChar w:fldCharType="end"/>
            </w:r>
          </w:p>
        </w:tc>
      </w:tr>
    </w:tbl>
    <w:p w:rsidR="000432EF" w:rsidRPr="00DE4B3F" w:rsidRDefault="000432EF" w:rsidP="000432EF">
      <w:pPr>
        <w:rPr>
          <w:b/>
        </w:rPr>
      </w:pPr>
    </w:p>
    <w:p w:rsidR="000432EF" w:rsidRDefault="000432EF"/>
    <w:p w:rsidR="000432EF" w:rsidRDefault="000432EF"/>
    <w:p w:rsidR="000432EF" w:rsidRDefault="000432EF"/>
    <w:p w:rsidR="000432EF" w:rsidRDefault="000432EF"/>
    <w:p w:rsidR="000432EF" w:rsidRDefault="000432EF"/>
    <w:p w:rsidR="000432EF" w:rsidRDefault="000432EF"/>
    <w:p w:rsidR="000432EF" w:rsidRDefault="000432EF"/>
    <w:p w:rsidR="000432EF" w:rsidRPr="001B3C68" w:rsidRDefault="000432EF"/>
    <w:sectPr w:rsidR="000432EF" w:rsidRPr="001B3C68" w:rsidSect="00C55E6D">
      <w:footerReference w:type="defaul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38E" w:rsidRDefault="0035138E" w:rsidP="00AC1D19">
      <w:pPr>
        <w:spacing w:after="0" w:line="240" w:lineRule="auto"/>
      </w:pPr>
      <w:r>
        <w:separator/>
      </w:r>
    </w:p>
  </w:endnote>
  <w:endnote w:type="continuationSeparator" w:id="0">
    <w:p w:rsidR="0035138E" w:rsidRDefault="0035138E" w:rsidP="00AC1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1527401"/>
      <w:docPartObj>
        <w:docPartGallery w:val="Page Numbers (Bottom of Page)"/>
        <w:docPartUnique/>
      </w:docPartObj>
    </w:sdtPr>
    <w:sdtEndPr>
      <w:rPr>
        <w:noProof/>
      </w:rPr>
    </w:sdtEndPr>
    <w:sdtContent>
      <w:p w:rsidR="00CC6FBD" w:rsidRDefault="00CC6FBD">
        <w:pPr>
          <w:pStyle w:val="Footer"/>
          <w:jc w:val="center"/>
        </w:pPr>
        <w:r>
          <w:fldChar w:fldCharType="begin"/>
        </w:r>
        <w:r>
          <w:instrText xml:space="preserve"> PAGE   \* MERGEFORMAT </w:instrText>
        </w:r>
        <w:r>
          <w:fldChar w:fldCharType="separate"/>
        </w:r>
        <w:r w:rsidR="00D84F9B">
          <w:rPr>
            <w:noProof/>
          </w:rPr>
          <w:t>20</w:t>
        </w:r>
        <w:r>
          <w:rPr>
            <w:noProof/>
          </w:rPr>
          <w:fldChar w:fldCharType="end"/>
        </w:r>
      </w:p>
    </w:sdtContent>
  </w:sdt>
  <w:p w:rsidR="00CC6FBD" w:rsidRDefault="00CC6F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66F" w:rsidRDefault="00B0066F">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D84F9B">
      <w:rPr>
        <w:caps/>
        <w:noProof/>
        <w:color w:val="5B9BD5" w:themeColor="accent1"/>
      </w:rPr>
      <w:t>1</w:t>
    </w:r>
    <w:r>
      <w:rPr>
        <w:caps/>
        <w:noProof/>
        <w:color w:val="5B9BD5" w:themeColor="accent1"/>
      </w:rPr>
      <w:fldChar w:fldCharType="end"/>
    </w:r>
  </w:p>
  <w:p w:rsidR="00B0066F" w:rsidRDefault="00B006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38E" w:rsidRDefault="0035138E" w:rsidP="00AC1D19">
      <w:pPr>
        <w:spacing w:after="0" w:line="240" w:lineRule="auto"/>
      </w:pPr>
      <w:r>
        <w:separator/>
      </w:r>
    </w:p>
  </w:footnote>
  <w:footnote w:type="continuationSeparator" w:id="0">
    <w:p w:rsidR="0035138E" w:rsidRDefault="0035138E" w:rsidP="00AC1D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5975"/>
    <w:multiLevelType w:val="hybridMultilevel"/>
    <w:tmpl w:val="39E20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D15C60"/>
    <w:multiLevelType w:val="hybridMultilevel"/>
    <w:tmpl w:val="3BD2671E"/>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5ABC5E5C">
      <w:numFmt w:val="bullet"/>
      <w:lvlText w:val="•"/>
      <w:lvlJc w:val="left"/>
      <w:pPr>
        <w:ind w:left="2160" w:hanging="360"/>
      </w:pPr>
      <w:rPr>
        <w:rFonts w:ascii="Calibri" w:eastAsiaTheme="minorHAnsi" w:hAnsi="Calibri"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077562"/>
    <w:multiLevelType w:val="hybridMultilevel"/>
    <w:tmpl w:val="07327EEE"/>
    <w:lvl w:ilvl="0" w:tplc="104C8470">
      <w:start w:val="1"/>
      <w:numFmt w:val="bullet"/>
      <w:lvlText w:val=""/>
      <w:lvlJc w:val="left"/>
      <w:pPr>
        <w:ind w:left="720" w:hanging="360"/>
      </w:pPr>
      <w:rPr>
        <w:rFonts w:ascii="Symbol" w:hAnsi="Symbol"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2D4D5B"/>
    <w:multiLevelType w:val="hybridMultilevel"/>
    <w:tmpl w:val="AC220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1938E3"/>
    <w:multiLevelType w:val="hybridMultilevel"/>
    <w:tmpl w:val="8642F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ABC5E5C">
      <w:numFmt w:val="bullet"/>
      <w:lvlText w:val="•"/>
      <w:lvlJc w:val="left"/>
      <w:pPr>
        <w:ind w:left="2160" w:hanging="360"/>
      </w:pPr>
      <w:rPr>
        <w:rFonts w:ascii="Calibri" w:eastAsiaTheme="minorHAnsi" w:hAnsi="Calibri"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2E4FC9"/>
    <w:multiLevelType w:val="hybridMultilevel"/>
    <w:tmpl w:val="5AEA3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1013BD"/>
    <w:multiLevelType w:val="multilevel"/>
    <w:tmpl w:val="D63447A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21D75D62"/>
    <w:multiLevelType w:val="hybridMultilevel"/>
    <w:tmpl w:val="858CC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EF1EA3"/>
    <w:multiLevelType w:val="hybridMultilevel"/>
    <w:tmpl w:val="0C4AAE2E"/>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5ABC5E5C">
      <w:numFmt w:val="bullet"/>
      <w:lvlText w:val="•"/>
      <w:lvlJc w:val="left"/>
      <w:pPr>
        <w:ind w:left="2160" w:hanging="360"/>
      </w:pPr>
      <w:rPr>
        <w:rFonts w:ascii="Calibri" w:eastAsiaTheme="minorHAnsi" w:hAnsi="Calibri"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51043E"/>
    <w:multiLevelType w:val="multilevel"/>
    <w:tmpl w:val="B6DC9368"/>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BD12818"/>
    <w:multiLevelType w:val="hybridMultilevel"/>
    <w:tmpl w:val="FC84037E"/>
    <w:lvl w:ilvl="0" w:tplc="5ABC5E5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78145B"/>
    <w:multiLevelType w:val="multilevel"/>
    <w:tmpl w:val="80A84D44"/>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F804F7E"/>
    <w:multiLevelType w:val="hybridMultilevel"/>
    <w:tmpl w:val="BA8C3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EC0A4F"/>
    <w:multiLevelType w:val="hybridMultilevel"/>
    <w:tmpl w:val="309AEE1E"/>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5BB5D93"/>
    <w:multiLevelType w:val="hybridMultilevel"/>
    <w:tmpl w:val="DF7C5D26"/>
    <w:lvl w:ilvl="0" w:tplc="EF1A429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6137B32"/>
    <w:multiLevelType w:val="hybridMultilevel"/>
    <w:tmpl w:val="B01EE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957FDC"/>
    <w:multiLevelType w:val="hybridMultilevel"/>
    <w:tmpl w:val="FE361E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D724AFE"/>
    <w:multiLevelType w:val="hybridMultilevel"/>
    <w:tmpl w:val="69FEC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390806"/>
    <w:multiLevelType w:val="hybridMultilevel"/>
    <w:tmpl w:val="E3BA1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706F0C"/>
    <w:multiLevelType w:val="hybridMultilevel"/>
    <w:tmpl w:val="D8CA3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5B51842"/>
    <w:multiLevelType w:val="hybridMultilevel"/>
    <w:tmpl w:val="B124408E"/>
    <w:lvl w:ilvl="0" w:tplc="5ABC5E5C">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8112778"/>
    <w:multiLevelType w:val="hybridMultilevel"/>
    <w:tmpl w:val="C518E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5656F6"/>
    <w:multiLevelType w:val="hybridMultilevel"/>
    <w:tmpl w:val="34D05E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53F479F"/>
    <w:multiLevelType w:val="hybridMultilevel"/>
    <w:tmpl w:val="BFDA8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FD4785"/>
    <w:multiLevelType w:val="hybridMultilevel"/>
    <w:tmpl w:val="1504B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AE337C"/>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3"/>
  </w:num>
  <w:num w:numId="3">
    <w:abstractNumId w:val="18"/>
  </w:num>
  <w:num w:numId="4">
    <w:abstractNumId w:val="19"/>
  </w:num>
  <w:num w:numId="5">
    <w:abstractNumId w:val="7"/>
  </w:num>
  <w:num w:numId="6">
    <w:abstractNumId w:val="17"/>
  </w:num>
  <w:num w:numId="7">
    <w:abstractNumId w:val="15"/>
  </w:num>
  <w:num w:numId="8">
    <w:abstractNumId w:val="24"/>
  </w:num>
  <w:num w:numId="9">
    <w:abstractNumId w:val="5"/>
  </w:num>
  <w:num w:numId="10">
    <w:abstractNumId w:val="3"/>
  </w:num>
  <w:num w:numId="11">
    <w:abstractNumId w:val="12"/>
  </w:num>
  <w:num w:numId="12">
    <w:abstractNumId w:val="21"/>
  </w:num>
  <w:num w:numId="13">
    <w:abstractNumId w:val="4"/>
  </w:num>
  <w:num w:numId="14">
    <w:abstractNumId w:val="10"/>
  </w:num>
  <w:num w:numId="15">
    <w:abstractNumId w:val="2"/>
  </w:num>
  <w:num w:numId="16">
    <w:abstractNumId w:val="25"/>
  </w:num>
  <w:num w:numId="17">
    <w:abstractNumId w:val="22"/>
  </w:num>
  <w:num w:numId="18">
    <w:abstractNumId w:val="13"/>
  </w:num>
  <w:num w:numId="19">
    <w:abstractNumId w:val="14"/>
  </w:num>
  <w:num w:numId="20">
    <w:abstractNumId w:val="1"/>
  </w:num>
  <w:num w:numId="21">
    <w:abstractNumId w:val="8"/>
  </w:num>
  <w:num w:numId="22">
    <w:abstractNumId w:val="11"/>
  </w:num>
  <w:num w:numId="23">
    <w:abstractNumId w:val="6"/>
  </w:num>
  <w:num w:numId="24">
    <w:abstractNumId w:val="16"/>
  </w:num>
  <w:num w:numId="25">
    <w:abstractNumId w:val="9"/>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97F"/>
    <w:rsid w:val="000432EF"/>
    <w:rsid w:val="00104F83"/>
    <w:rsid w:val="00117A20"/>
    <w:rsid w:val="001366C8"/>
    <w:rsid w:val="00171192"/>
    <w:rsid w:val="001B3C68"/>
    <w:rsid w:val="00251E93"/>
    <w:rsid w:val="00271F45"/>
    <w:rsid w:val="002D7D44"/>
    <w:rsid w:val="0035138E"/>
    <w:rsid w:val="00356B85"/>
    <w:rsid w:val="00413261"/>
    <w:rsid w:val="004221F4"/>
    <w:rsid w:val="004750EC"/>
    <w:rsid w:val="00511260"/>
    <w:rsid w:val="005478BB"/>
    <w:rsid w:val="005577E6"/>
    <w:rsid w:val="005C0ED9"/>
    <w:rsid w:val="00603742"/>
    <w:rsid w:val="006273DD"/>
    <w:rsid w:val="00650E65"/>
    <w:rsid w:val="0065435F"/>
    <w:rsid w:val="00663819"/>
    <w:rsid w:val="0069387E"/>
    <w:rsid w:val="006E1D77"/>
    <w:rsid w:val="00704C1E"/>
    <w:rsid w:val="00753BB5"/>
    <w:rsid w:val="007823BC"/>
    <w:rsid w:val="00814025"/>
    <w:rsid w:val="00820AC2"/>
    <w:rsid w:val="00842BC4"/>
    <w:rsid w:val="008507A0"/>
    <w:rsid w:val="0086488A"/>
    <w:rsid w:val="008E497F"/>
    <w:rsid w:val="009060E7"/>
    <w:rsid w:val="0092684E"/>
    <w:rsid w:val="0096389D"/>
    <w:rsid w:val="00985026"/>
    <w:rsid w:val="009A404F"/>
    <w:rsid w:val="00A33962"/>
    <w:rsid w:val="00A5076D"/>
    <w:rsid w:val="00A5195D"/>
    <w:rsid w:val="00A52287"/>
    <w:rsid w:val="00A56E98"/>
    <w:rsid w:val="00A6229C"/>
    <w:rsid w:val="00A73991"/>
    <w:rsid w:val="00AA19D1"/>
    <w:rsid w:val="00AC1598"/>
    <w:rsid w:val="00AC1D19"/>
    <w:rsid w:val="00AD610E"/>
    <w:rsid w:val="00B0066F"/>
    <w:rsid w:val="00B86649"/>
    <w:rsid w:val="00C01982"/>
    <w:rsid w:val="00C0536C"/>
    <w:rsid w:val="00C55E6D"/>
    <w:rsid w:val="00CB0FC3"/>
    <w:rsid w:val="00CC6FBD"/>
    <w:rsid w:val="00D0380A"/>
    <w:rsid w:val="00D55026"/>
    <w:rsid w:val="00D7166F"/>
    <w:rsid w:val="00D84F9B"/>
    <w:rsid w:val="00D877C4"/>
    <w:rsid w:val="00DF7027"/>
    <w:rsid w:val="00E175E2"/>
    <w:rsid w:val="00E87BD8"/>
    <w:rsid w:val="00ED61D7"/>
    <w:rsid w:val="00F035FC"/>
    <w:rsid w:val="00F33386"/>
    <w:rsid w:val="00F83B57"/>
    <w:rsid w:val="00FE75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013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49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B3C6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E49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97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E497F"/>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8E497F"/>
    <w:pPr>
      <w:ind w:left="720"/>
      <w:contextualSpacing/>
    </w:pPr>
  </w:style>
  <w:style w:type="paragraph" w:styleId="FootnoteText">
    <w:name w:val="footnote text"/>
    <w:basedOn w:val="Normal"/>
    <w:link w:val="FootnoteTextChar"/>
    <w:uiPriority w:val="99"/>
    <w:semiHidden/>
    <w:unhideWhenUsed/>
    <w:rsid w:val="00AC1D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1D19"/>
    <w:rPr>
      <w:sz w:val="20"/>
      <w:szCs w:val="20"/>
    </w:rPr>
  </w:style>
  <w:style w:type="character" w:styleId="FootnoteReference">
    <w:name w:val="footnote reference"/>
    <w:basedOn w:val="DefaultParagraphFont"/>
    <w:uiPriority w:val="99"/>
    <w:semiHidden/>
    <w:unhideWhenUsed/>
    <w:rsid w:val="00AC1D19"/>
    <w:rPr>
      <w:vertAlign w:val="superscript"/>
    </w:rPr>
  </w:style>
  <w:style w:type="paragraph" w:styleId="Header">
    <w:name w:val="header"/>
    <w:basedOn w:val="Normal"/>
    <w:link w:val="HeaderChar"/>
    <w:uiPriority w:val="99"/>
    <w:unhideWhenUsed/>
    <w:rsid w:val="00F333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386"/>
  </w:style>
  <w:style w:type="paragraph" w:styleId="Footer">
    <w:name w:val="footer"/>
    <w:basedOn w:val="Normal"/>
    <w:link w:val="FooterChar"/>
    <w:uiPriority w:val="99"/>
    <w:unhideWhenUsed/>
    <w:rsid w:val="00F333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386"/>
  </w:style>
  <w:style w:type="paragraph" w:styleId="BalloonText">
    <w:name w:val="Balloon Text"/>
    <w:basedOn w:val="Normal"/>
    <w:link w:val="BalloonTextChar"/>
    <w:uiPriority w:val="99"/>
    <w:semiHidden/>
    <w:unhideWhenUsed/>
    <w:rsid w:val="008648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488A"/>
    <w:rPr>
      <w:rFonts w:ascii="Segoe UI" w:hAnsi="Segoe UI" w:cs="Segoe UI"/>
      <w:sz w:val="18"/>
      <w:szCs w:val="18"/>
    </w:rPr>
  </w:style>
  <w:style w:type="character" w:customStyle="1" w:styleId="Heading2Char">
    <w:name w:val="Heading 2 Char"/>
    <w:basedOn w:val="DefaultParagraphFont"/>
    <w:link w:val="Heading2"/>
    <w:uiPriority w:val="9"/>
    <w:rsid w:val="001B3C68"/>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0432EF"/>
    <w:pPr>
      <w:spacing w:after="0" w:line="240" w:lineRule="auto"/>
    </w:pPr>
  </w:style>
  <w:style w:type="table" w:styleId="TableGrid">
    <w:name w:val="Table Grid"/>
    <w:basedOn w:val="TableNormal"/>
    <w:uiPriority w:val="39"/>
    <w:rsid w:val="00043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49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B3C6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E49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97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E497F"/>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8E497F"/>
    <w:pPr>
      <w:ind w:left="720"/>
      <w:contextualSpacing/>
    </w:pPr>
  </w:style>
  <w:style w:type="paragraph" w:styleId="FootnoteText">
    <w:name w:val="footnote text"/>
    <w:basedOn w:val="Normal"/>
    <w:link w:val="FootnoteTextChar"/>
    <w:uiPriority w:val="99"/>
    <w:semiHidden/>
    <w:unhideWhenUsed/>
    <w:rsid w:val="00AC1D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1D19"/>
    <w:rPr>
      <w:sz w:val="20"/>
      <w:szCs w:val="20"/>
    </w:rPr>
  </w:style>
  <w:style w:type="character" w:styleId="FootnoteReference">
    <w:name w:val="footnote reference"/>
    <w:basedOn w:val="DefaultParagraphFont"/>
    <w:uiPriority w:val="99"/>
    <w:semiHidden/>
    <w:unhideWhenUsed/>
    <w:rsid w:val="00AC1D19"/>
    <w:rPr>
      <w:vertAlign w:val="superscript"/>
    </w:rPr>
  </w:style>
  <w:style w:type="paragraph" w:styleId="Header">
    <w:name w:val="header"/>
    <w:basedOn w:val="Normal"/>
    <w:link w:val="HeaderChar"/>
    <w:uiPriority w:val="99"/>
    <w:unhideWhenUsed/>
    <w:rsid w:val="00F333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386"/>
  </w:style>
  <w:style w:type="paragraph" w:styleId="Footer">
    <w:name w:val="footer"/>
    <w:basedOn w:val="Normal"/>
    <w:link w:val="FooterChar"/>
    <w:uiPriority w:val="99"/>
    <w:unhideWhenUsed/>
    <w:rsid w:val="00F333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386"/>
  </w:style>
  <w:style w:type="paragraph" w:styleId="BalloonText">
    <w:name w:val="Balloon Text"/>
    <w:basedOn w:val="Normal"/>
    <w:link w:val="BalloonTextChar"/>
    <w:uiPriority w:val="99"/>
    <w:semiHidden/>
    <w:unhideWhenUsed/>
    <w:rsid w:val="008648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488A"/>
    <w:rPr>
      <w:rFonts w:ascii="Segoe UI" w:hAnsi="Segoe UI" w:cs="Segoe UI"/>
      <w:sz w:val="18"/>
      <w:szCs w:val="18"/>
    </w:rPr>
  </w:style>
  <w:style w:type="character" w:customStyle="1" w:styleId="Heading2Char">
    <w:name w:val="Heading 2 Char"/>
    <w:basedOn w:val="DefaultParagraphFont"/>
    <w:link w:val="Heading2"/>
    <w:uiPriority w:val="9"/>
    <w:rsid w:val="001B3C68"/>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0432EF"/>
    <w:pPr>
      <w:spacing w:after="0" w:line="240" w:lineRule="auto"/>
    </w:pPr>
  </w:style>
  <w:style w:type="table" w:styleId="TableGrid">
    <w:name w:val="Table Grid"/>
    <w:basedOn w:val="TableNormal"/>
    <w:uiPriority w:val="39"/>
    <w:rsid w:val="00043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81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D5BB2-C486-4900-8116-D57ED2283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4364</Words>
  <Characters>24876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2017 Heart of Texas COC NA project Ranking and Reallocation policy</vt:lpstr>
    </vt:vector>
  </TitlesOfParts>
  <Company>Heart of Texas Region MHMR</Company>
  <LinksUpToDate>false</LinksUpToDate>
  <CharactersWithSpaces>29182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Heart of Texas COC NA project Ranking and Reallocation policy</dc:title>
  <dc:creator>Howard Burchman</dc:creator>
  <cp:lastModifiedBy>Melinda Bonds</cp:lastModifiedBy>
  <cp:revision>2</cp:revision>
  <dcterms:created xsi:type="dcterms:W3CDTF">2017-09-07T20:01:00Z</dcterms:created>
  <dcterms:modified xsi:type="dcterms:W3CDTF">2017-09-07T20:01:00Z</dcterms:modified>
</cp:coreProperties>
</file>